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96475"/>
      <w:bookmarkStart w:id="4" w:name="_Toc15378441"/>
      <w:bookmarkStart w:id="5" w:name="_Toc15377193"/>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7194"/>
      <w:bookmarkStart w:id="9" w:name="_Toc15396598"/>
      <w:bookmarkStart w:id="10" w:name="_Toc15378442"/>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发展和改革委员会部门决算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jc w:val="both"/>
      </w:pPr>
      <w:r>
        <w:fldChar w:fldCharType="begin"/>
      </w:r>
      <w:r>
        <w:instrText xml:space="preserve"> HYPERLINK \l "_Toc15396599" </w:instrText>
      </w:r>
      <w:r>
        <w:fldChar w:fldCharType="separate"/>
      </w:r>
      <w:r>
        <w:rPr>
          <w:rStyle w:val="16"/>
          <w:rFonts w:hint="eastAsia"/>
        </w:rPr>
        <w:t>第一部分部门概况</w:t>
      </w:r>
      <w:r>
        <w:rPr>
          <w:rStyle w:val="16"/>
          <w:rFonts w:hint="eastAsia"/>
        </w:rPr>
        <w:fldChar w:fldCharType="end"/>
      </w:r>
    </w:p>
    <w:p>
      <w:pPr>
        <w:pStyle w:val="11"/>
      </w:pPr>
      <w:r>
        <w:fldChar w:fldCharType="begin"/>
      </w:r>
      <w:r>
        <w:instrText xml:space="preserve"> HYPERLINK \l "_Toc15396600" </w:instrText>
      </w:r>
      <w:r>
        <w:fldChar w:fldCharType="separate"/>
      </w:r>
      <w:r>
        <w:rPr>
          <w:rStyle w:val="16"/>
          <w:rFonts w:hint="eastAsia"/>
        </w:rPr>
        <w:t>一、基本职能及主要工作</w:t>
      </w:r>
      <w:r>
        <w:rPr>
          <w:rStyle w:val="16"/>
          <w:rFonts w:hint="eastAsia"/>
        </w:rPr>
        <w:fldChar w:fldCharType="end"/>
      </w:r>
    </w:p>
    <w:p>
      <w:pPr>
        <w:pStyle w:val="11"/>
      </w:pPr>
      <w:r>
        <w:fldChar w:fldCharType="begin"/>
      </w:r>
      <w:r>
        <w:instrText xml:space="preserve"> HYPERLINK \l "_Toc15396601" </w:instrText>
      </w:r>
      <w:r>
        <w:fldChar w:fldCharType="separate"/>
      </w:r>
      <w:r>
        <w:rPr>
          <w:rStyle w:val="16"/>
          <w:rFonts w:hint="eastAsia"/>
        </w:rPr>
        <w:t>二、机构设置</w:t>
      </w:r>
      <w:r>
        <w:rPr>
          <w:rStyle w:val="16"/>
          <w:rFonts w:hint="eastAsia"/>
        </w:rPr>
        <w:fldChar w:fldCharType="end"/>
      </w:r>
    </w:p>
    <w:p>
      <w:pPr>
        <w:pStyle w:val="10"/>
        <w:jc w:val="both"/>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rPr>
          <w:rStyle w:val="16"/>
          <w:rFonts w:hint="eastAsia"/>
        </w:rPr>
        <w:fldChar w:fldCharType="end"/>
      </w:r>
    </w:p>
    <w:p>
      <w:pPr>
        <w:pStyle w:val="11"/>
      </w:pPr>
      <w:r>
        <w:fldChar w:fldCharType="begin"/>
      </w:r>
      <w:r>
        <w:instrText xml:space="preserve"> HYPERLINK \l "_Toc15396603" </w:instrText>
      </w:r>
      <w:r>
        <w:fldChar w:fldCharType="separate"/>
      </w:r>
      <w:r>
        <w:rPr>
          <w:rStyle w:val="16"/>
          <w:rFonts w:hint="eastAsia"/>
          <w:bCs/>
        </w:rPr>
        <w:t>一、</w:t>
      </w:r>
      <w:r>
        <w:rPr>
          <w:rStyle w:val="16"/>
          <w:rFonts w:hint="eastAsia"/>
        </w:rPr>
        <w:t>收</w:t>
      </w:r>
      <w:r>
        <w:rPr>
          <w:rStyle w:val="16"/>
          <w:rFonts w:hint="eastAsia"/>
          <w:bCs/>
        </w:rPr>
        <w:t>入支出决算总体情况说明</w:t>
      </w:r>
      <w:r>
        <w:rPr>
          <w:rStyle w:val="16"/>
          <w:rFonts w:hint="eastAsia"/>
          <w:bCs/>
        </w:rPr>
        <w:fldChar w:fldCharType="end"/>
      </w:r>
    </w:p>
    <w:p>
      <w:pPr>
        <w:pStyle w:val="11"/>
      </w:pPr>
      <w:r>
        <w:fldChar w:fldCharType="begin"/>
      </w:r>
      <w:r>
        <w:instrText xml:space="preserve"> HYPERLINK \l "_Toc15396604" </w:instrText>
      </w:r>
      <w:r>
        <w:fldChar w:fldCharType="separate"/>
      </w:r>
      <w:r>
        <w:rPr>
          <w:rStyle w:val="16"/>
          <w:rFonts w:hint="eastAsia"/>
          <w:bCs/>
        </w:rPr>
        <w:t>二、</w:t>
      </w:r>
      <w:r>
        <w:rPr>
          <w:rStyle w:val="16"/>
          <w:rFonts w:hint="eastAsia"/>
        </w:rPr>
        <w:t>收</w:t>
      </w:r>
      <w:r>
        <w:rPr>
          <w:rStyle w:val="16"/>
          <w:rFonts w:hint="eastAsia"/>
          <w:bCs/>
        </w:rPr>
        <w:t>入决算情况说明</w:t>
      </w:r>
      <w:r>
        <w:rPr>
          <w:rStyle w:val="16"/>
          <w:rFonts w:hint="eastAsia"/>
          <w:bCs/>
        </w:rPr>
        <w:fldChar w:fldCharType="end"/>
      </w:r>
    </w:p>
    <w:p>
      <w:pPr>
        <w:pStyle w:val="11"/>
      </w:pPr>
      <w:r>
        <w:fldChar w:fldCharType="begin"/>
      </w:r>
      <w:r>
        <w:instrText xml:space="preserve"> HYPERLINK \l "_Toc15396605" </w:instrText>
      </w:r>
      <w:r>
        <w:fldChar w:fldCharType="separate"/>
      </w:r>
      <w:r>
        <w:rPr>
          <w:rStyle w:val="16"/>
          <w:rFonts w:hint="eastAsia"/>
          <w:bCs/>
        </w:rPr>
        <w:t>三、</w:t>
      </w:r>
      <w:r>
        <w:rPr>
          <w:rStyle w:val="16"/>
          <w:rFonts w:hint="eastAsia"/>
        </w:rPr>
        <w:t>支</w:t>
      </w:r>
      <w:r>
        <w:rPr>
          <w:rStyle w:val="16"/>
          <w:rFonts w:hint="eastAsia"/>
          <w:bCs/>
        </w:rPr>
        <w:t>出决算情况说明</w:t>
      </w:r>
      <w:r>
        <w:rPr>
          <w:rStyle w:val="16"/>
          <w:rFonts w:hint="eastAsia"/>
          <w:bCs/>
        </w:rPr>
        <w:fldChar w:fldCharType="end"/>
      </w:r>
    </w:p>
    <w:p>
      <w:pPr>
        <w:pStyle w:val="11"/>
      </w:pPr>
      <w:r>
        <w:fldChar w:fldCharType="begin"/>
      </w:r>
      <w:r>
        <w:instrText xml:space="preserve"> HYPERLINK \l "_Toc15396606" </w:instrText>
      </w:r>
      <w:r>
        <w:fldChar w:fldCharType="separate"/>
      </w:r>
      <w:r>
        <w:rPr>
          <w:rStyle w:val="16"/>
          <w:rFonts w:hint="eastAsia"/>
        </w:rPr>
        <w:t>四、财</w:t>
      </w:r>
      <w:r>
        <w:rPr>
          <w:rStyle w:val="16"/>
          <w:rFonts w:hint="eastAsia"/>
          <w:bCs/>
        </w:rPr>
        <w:t>政拨款收入支出决算总体情况说明</w:t>
      </w:r>
      <w:r>
        <w:rPr>
          <w:rStyle w:val="16"/>
          <w:rFonts w:hint="eastAsia"/>
          <w:bCs/>
        </w:rPr>
        <w:fldChar w:fldCharType="end"/>
      </w:r>
    </w:p>
    <w:p>
      <w:pPr>
        <w:pStyle w:val="11"/>
      </w:pPr>
      <w:r>
        <w:fldChar w:fldCharType="begin"/>
      </w:r>
      <w:r>
        <w:instrText xml:space="preserve"> HYPERLINK \l "_Toc15396607" </w:instrText>
      </w:r>
      <w:r>
        <w:fldChar w:fldCharType="separate"/>
      </w:r>
      <w:r>
        <w:rPr>
          <w:rStyle w:val="16"/>
          <w:rFonts w:hint="eastAsia"/>
        </w:rPr>
        <w:t>五、一</w:t>
      </w:r>
      <w:r>
        <w:rPr>
          <w:rStyle w:val="16"/>
          <w:rFonts w:hint="eastAsia"/>
          <w:bCs/>
        </w:rPr>
        <w:t>般公共预算财政拨款支出决算情况说明</w:t>
      </w:r>
      <w:r>
        <w:rPr>
          <w:rStyle w:val="16"/>
          <w:rFonts w:hint="eastAsia"/>
          <w:bCs/>
        </w:rPr>
        <w:fldChar w:fldCharType="end"/>
      </w:r>
    </w:p>
    <w:p>
      <w:pPr>
        <w:pStyle w:val="11"/>
      </w:pPr>
      <w:r>
        <w:fldChar w:fldCharType="begin"/>
      </w:r>
      <w:r>
        <w:instrText xml:space="preserve"> HYPERLINK \l "_Toc15396608" </w:instrText>
      </w:r>
      <w:r>
        <w:fldChar w:fldCharType="separate"/>
      </w:r>
      <w:r>
        <w:rPr>
          <w:rStyle w:val="16"/>
          <w:rFonts w:hint="eastAsia"/>
        </w:rPr>
        <w:t>六、一</w:t>
      </w:r>
      <w:r>
        <w:rPr>
          <w:rStyle w:val="16"/>
          <w:rFonts w:hint="eastAsia"/>
          <w:bCs/>
        </w:rPr>
        <w:t>般公共预算财政拨款基本支出决算情况说明</w:t>
      </w:r>
      <w:r>
        <w:rPr>
          <w:rStyle w:val="16"/>
          <w:rFonts w:hint="eastAsia"/>
          <w:bCs/>
        </w:rPr>
        <w:fldChar w:fldCharType="end"/>
      </w:r>
    </w:p>
    <w:p>
      <w:pPr>
        <w:pStyle w:val="11"/>
      </w:pPr>
      <w:r>
        <w:fldChar w:fldCharType="begin"/>
      </w:r>
      <w:r>
        <w:instrText xml:space="preserve"> HYPERLINK \l "_Toc15396609" </w:instrText>
      </w:r>
      <w:r>
        <w:fldChar w:fldCharType="separate"/>
      </w:r>
      <w:r>
        <w:rPr>
          <w:rStyle w:val="16"/>
          <w:rFonts w:hint="eastAsia"/>
        </w:rPr>
        <w:t>七、“</w:t>
      </w:r>
      <w:r>
        <w:rPr>
          <w:rStyle w:val="16"/>
          <w:rFonts w:hint="eastAsia"/>
          <w:bCs/>
        </w:rPr>
        <w:t>三公”经费财政拨款支出决算情况说明</w:t>
      </w:r>
      <w:r>
        <w:rPr>
          <w:rStyle w:val="16"/>
          <w:rFonts w:hint="eastAsia"/>
          <w:bCs/>
        </w:rPr>
        <w:fldChar w:fldCharType="end"/>
      </w:r>
    </w:p>
    <w:p>
      <w:pPr>
        <w:pStyle w:val="11"/>
      </w:pPr>
      <w:r>
        <w:fldChar w:fldCharType="begin"/>
      </w:r>
      <w:r>
        <w:instrText xml:space="preserve"> HYPERLINK \l "_Toc15396610" </w:instrText>
      </w:r>
      <w:r>
        <w:fldChar w:fldCharType="separate"/>
      </w:r>
      <w:r>
        <w:rPr>
          <w:rStyle w:val="16"/>
          <w:rFonts w:hint="eastAsia"/>
        </w:rPr>
        <w:t>八、</w:t>
      </w:r>
      <w:r>
        <w:rPr>
          <w:rStyle w:val="16"/>
          <w:rFonts w:hint="eastAsia"/>
          <w:bCs/>
        </w:rPr>
        <w:t>政府性基金预算支出决算情况说明</w:t>
      </w:r>
      <w:r>
        <w:rPr>
          <w:rStyle w:val="16"/>
          <w:rFonts w:hint="eastAsia"/>
          <w:bCs/>
        </w:rPr>
        <w:fldChar w:fldCharType="end"/>
      </w:r>
    </w:p>
    <w:p>
      <w:pPr>
        <w:pStyle w:val="11"/>
      </w:pPr>
      <w:r>
        <w:fldChar w:fldCharType="begin"/>
      </w:r>
      <w:r>
        <w:instrText xml:space="preserve"> HYPERLINK \l "_Toc15396611" </w:instrText>
      </w:r>
      <w:r>
        <w:fldChar w:fldCharType="separate"/>
      </w:r>
      <w:r>
        <w:rPr>
          <w:rStyle w:val="16"/>
          <w:rFonts w:hint="eastAsia"/>
          <w:bCs/>
        </w:rPr>
        <w:t>九、</w:t>
      </w:r>
      <w:r>
        <w:rPr>
          <w:rStyle w:val="16"/>
        </w:rPr>
        <w:t xml:space="preserve"> </w:t>
      </w:r>
      <w:r>
        <w:rPr>
          <w:rStyle w:val="16"/>
          <w:rFonts w:hint="eastAsia"/>
        </w:rPr>
        <w:t>国</w:t>
      </w:r>
      <w:r>
        <w:rPr>
          <w:rStyle w:val="16"/>
          <w:rFonts w:hint="eastAsia"/>
          <w:bCs/>
        </w:rPr>
        <w:t>有资本经营预算支出决算情况说明</w:t>
      </w:r>
      <w:r>
        <w:rPr>
          <w:rStyle w:val="16"/>
          <w:rFonts w:hint="eastAsia"/>
          <w:bCs/>
        </w:rPr>
        <w:fldChar w:fldCharType="end"/>
      </w:r>
    </w:p>
    <w:p>
      <w:pPr>
        <w:pStyle w:val="11"/>
        <w:rPr>
          <w:rStyle w:val="16"/>
          <w:bCs/>
          <w:color w:val="auto"/>
          <w:u w:val="none"/>
        </w:rPr>
      </w:pPr>
      <w:r>
        <w:rPr>
          <w:rStyle w:val="16"/>
          <w:rFonts w:hint="eastAsia"/>
          <w:bCs/>
          <w:color w:val="auto"/>
          <w:u w:val="none"/>
        </w:rPr>
        <w:t>十、</w:t>
      </w:r>
      <w:r>
        <w:rPr>
          <w:rStyle w:val="16"/>
          <w:bCs/>
          <w:color w:val="auto"/>
          <w:u w:val="none"/>
        </w:rPr>
        <w:t xml:space="preserve"> </w:t>
      </w:r>
      <w:r>
        <w:rPr>
          <w:rStyle w:val="16"/>
          <w:rFonts w:hint="eastAsia"/>
          <w:bCs/>
          <w:color w:val="auto"/>
          <w:u w:val="none"/>
        </w:rPr>
        <w:t>预算绩效情况说明</w:t>
      </w:r>
    </w:p>
    <w:p>
      <w:pPr>
        <w:pStyle w:val="11"/>
      </w:pPr>
      <w:r>
        <w:fldChar w:fldCharType="begin"/>
      </w:r>
      <w:r>
        <w:instrText xml:space="preserve"> HYPERLINK \l "_Toc15396612" </w:instrText>
      </w:r>
      <w:r>
        <w:fldChar w:fldCharType="separate"/>
      </w:r>
      <w:r>
        <w:rPr>
          <w:rStyle w:val="16"/>
          <w:rFonts w:hint="eastAsia"/>
        </w:rPr>
        <w:t>十</w:t>
      </w:r>
      <w:r>
        <w:rPr>
          <w:rStyle w:val="16"/>
          <w:rFonts w:hint="eastAsia"/>
          <w:bCs/>
        </w:rPr>
        <w:t>一、其他重要事项的情况说明</w:t>
      </w:r>
      <w:r>
        <w:rPr>
          <w:rStyle w:val="16"/>
          <w:rFonts w:hint="eastAsia"/>
          <w:bCs/>
        </w:rPr>
        <w:fldChar w:fldCharType="end"/>
      </w:r>
    </w:p>
    <w:p>
      <w:pPr>
        <w:pStyle w:val="10"/>
        <w:jc w:val="both"/>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rPr>
          <w:rStyle w:val="16"/>
          <w:rFonts w:hint="eastAsia"/>
          <w:bCs/>
          <w:kern w:val="44"/>
        </w:rPr>
        <w:fldChar w:fldCharType="end"/>
      </w:r>
    </w:p>
    <w:p>
      <w:pPr>
        <w:pStyle w:val="10"/>
        <w:jc w:val="both"/>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rPr>
          <w:rStyle w:val="16"/>
          <w:rFonts w:hint="eastAsia"/>
          <w:bCs/>
          <w:kern w:val="44"/>
        </w:rPr>
        <w:fldChar w:fldCharType="end"/>
      </w:r>
    </w:p>
    <w:p>
      <w:pPr>
        <w:pStyle w:val="10"/>
        <w:jc w:val="both"/>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rPr>
          <w:rStyle w:val="16"/>
          <w:rFonts w:hint="eastAsia"/>
          <w:bCs/>
          <w:kern w:val="44"/>
        </w:rPr>
        <w:fldChar w:fldCharType="end"/>
      </w:r>
    </w:p>
    <w:p>
      <w:pPr>
        <w:pStyle w:val="11"/>
      </w:pPr>
      <w:r>
        <w:rPr>
          <w:rFonts w:hint="eastAsia"/>
        </w:rPr>
        <w:t>一、</w:t>
      </w:r>
      <w:r>
        <w:fldChar w:fldCharType="begin"/>
      </w:r>
      <w:r>
        <w:instrText xml:space="preserve"> HYPERLINK \l "_Toc15396619" </w:instrText>
      </w:r>
      <w:r>
        <w:fldChar w:fldCharType="separate"/>
      </w:r>
      <w:r>
        <w:rPr>
          <w:rStyle w:val="16"/>
          <w:rFonts w:hint="eastAsia"/>
        </w:rPr>
        <w:t>收入支出决算总表</w:t>
      </w:r>
      <w:r>
        <w:rPr>
          <w:rStyle w:val="16"/>
          <w:rFonts w:hint="eastAsia"/>
        </w:rPr>
        <w:fldChar w:fldCharType="end"/>
      </w:r>
    </w:p>
    <w:p>
      <w:pPr>
        <w:pStyle w:val="11"/>
      </w:pPr>
      <w:r>
        <w:rPr>
          <w:rFonts w:hint="eastAsia"/>
        </w:rPr>
        <w:t>二、</w:t>
      </w:r>
      <w:r>
        <w:fldChar w:fldCharType="begin"/>
      </w:r>
      <w:r>
        <w:instrText xml:space="preserve"> HYPERLINK \l "_Toc15396620" </w:instrText>
      </w:r>
      <w:r>
        <w:fldChar w:fldCharType="separate"/>
      </w:r>
      <w:r>
        <w:rPr>
          <w:rStyle w:val="16"/>
          <w:rFonts w:hint="eastAsia"/>
        </w:rPr>
        <w:t>收入总表</w:t>
      </w:r>
      <w:r>
        <w:rPr>
          <w:rStyle w:val="16"/>
          <w:rFonts w:hint="eastAsia"/>
        </w:rPr>
        <w:fldChar w:fldCharType="end"/>
      </w:r>
    </w:p>
    <w:p>
      <w:pPr>
        <w:pStyle w:val="11"/>
      </w:pPr>
      <w:r>
        <w:rPr>
          <w:rFonts w:hint="eastAsia"/>
        </w:rPr>
        <w:t>三、</w:t>
      </w:r>
      <w:r>
        <w:fldChar w:fldCharType="begin"/>
      </w:r>
      <w:r>
        <w:instrText xml:space="preserve"> HYPERLINK \l "_Toc15396621" </w:instrText>
      </w:r>
      <w:r>
        <w:fldChar w:fldCharType="separate"/>
      </w:r>
      <w:r>
        <w:rPr>
          <w:rStyle w:val="16"/>
          <w:rFonts w:hint="eastAsia"/>
        </w:rPr>
        <w:t>支出总表</w:t>
      </w:r>
      <w:r>
        <w:rPr>
          <w:rStyle w:val="16"/>
          <w:rFonts w:hint="eastAsia"/>
        </w:rPr>
        <w:fldChar w:fldCharType="end"/>
      </w:r>
    </w:p>
    <w:p>
      <w:pPr>
        <w:pStyle w:val="11"/>
      </w:pPr>
      <w:r>
        <w:rPr>
          <w:rFonts w:hint="eastAsia"/>
        </w:rPr>
        <w:t>四、</w:t>
      </w:r>
      <w:r>
        <w:fldChar w:fldCharType="begin"/>
      </w:r>
      <w:r>
        <w:instrText xml:space="preserve"> HYPERLINK \l "_Toc15396622" </w:instrText>
      </w:r>
      <w:r>
        <w:fldChar w:fldCharType="separate"/>
      </w:r>
      <w:r>
        <w:rPr>
          <w:rStyle w:val="16"/>
          <w:rFonts w:hint="eastAsia"/>
        </w:rPr>
        <w:t>财政拨款收入支出决算总表</w:t>
      </w:r>
      <w:r>
        <w:rPr>
          <w:rStyle w:val="16"/>
          <w:rFonts w:hint="eastAsia"/>
        </w:rPr>
        <w:fldChar w:fldCharType="end"/>
      </w:r>
    </w:p>
    <w:p>
      <w:pPr>
        <w:pStyle w:val="11"/>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rPr>
          <w:rFonts w:hint="eastAsia"/>
        </w:rPr>
        <w:fldChar w:fldCharType="end"/>
      </w:r>
    </w:p>
    <w:p>
      <w:pPr>
        <w:pStyle w:val="11"/>
      </w:pPr>
      <w:r>
        <w:rPr>
          <w:rFonts w:hint="eastAsia"/>
        </w:rPr>
        <w:t>六、</w:t>
      </w:r>
      <w:r>
        <w:fldChar w:fldCharType="begin"/>
      </w:r>
      <w:r>
        <w:instrText xml:space="preserve"> HYPERLINK \l "_Toc15396624" </w:instrText>
      </w:r>
      <w:r>
        <w:fldChar w:fldCharType="separate"/>
      </w:r>
      <w:r>
        <w:rPr>
          <w:rStyle w:val="16"/>
          <w:rFonts w:hint="eastAsia"/>
        </w:rPr>
        <w:t>一般公共预算财政拨款支出决算表</w:t>
      </w:r>
      <w:r>
        <w:rPr>
          <w:rStyle w:val="16"/>
          <w:rFonts w:hint="eastAsia"/>
        </w:rPr>
        <w:fldChar w:fldCharType="end"/>
      </w:r>
    </w:p>
    <w:p>
      <w:pPr>
        <w:pStyle w:val="11"/>
      </w:pPr>
      <w:r>
        <w:rPr>
          <w:rFonts w:hint="eastAsia"/>
        </w:rPr>
        <w:t>七、</w:t>
      </w:r>
      <w:r>
        <w:fldChar w:fldCharType="begin"/>
      </w:r>
      <w:r>
        <w:instrText xml:space="preserve"> HYPERLINK \l "_Toc15396625" </w:instrText>
      </w:r>
      <w:r>
        <w:fldChar w:fldCharType="separate"/>
      </w:r>
      <w:r>
        <w:rPr>
          <w:rStyle w:val="16"/>
          <w:rFonts w:hint="eastAsia"/>
        </w:rPr>
        <w:t>一般公共预算财政拨款支出决算明细表</w:t>
      </w:r>
      <w:r>
        <w:rPr>
          <w:rStyle w:val="16"/>
          <w:rFonts w:hint="eastAsia"/>
        </w:rPr>
        <w:fldChar w:fldCharType="end"/>
      </w:r>
    </w:p>
    <w:p>
      <w:pPr>
        <w:pStyle w:val="11"/>
      </w:pPr>
      <w:r>
        <w:rPr>
          <w:rFonts w:hint="eastAsia"/>
        </w:rPr>
        <w:t>八、</w:t>
      </w:r>
      <w:r>
        <w:fldChar w:fldCharType="begin"/>
      </w:r>
      <w:r>
        <w:instrText xml:space="preserve"> HYPERLINK \l "_Toc15396626" </w:instrText>
      </w:r>
      <w:r>
        <w:fldChar w:fldCharType="separate"/>
      </w:r>
      <w:r>
        <w:rPr>
          <w:rStyle w:val="16"/>
          <w:rFonts w:hint="eastAsia"/>
        </w:rPr>
        <w:t>一般公共预算财政拨款基本支出决算表</w:t>
      </w:r>
      <w:r>
        <w:rPr>
          <w:rStyle w:val="16"/>
          <w:rFonts w:hint="eastAsia"/>
        </w:rPr>
        <w:fldChar w:fldCharType="end"/>
      </w:r>
    </w:p>
    <w:p>
      <w:pPr>
        <w:pStyle w:val="11"/>
      </w:pPr>
      <w:r>
        <w:rPr>
          <w:rFonts w:hint="eastAsia"/>
        </w:rPr>
        <w:t>九、</w:t>
      </w:r>
      <w:r>
        <w:fldChar w:fldCharType="begin"/>
      </w:r>
      <w:r>
        <w:instrText xml:space="preserve"> HYPERLINK \l "_Toc15396627" </w:instrText>
      </w:r>
      <w:r>
        <w:fldChar w:fldCharType="separate"/>
      </w:r>
      <w:r>
        <w:rPr>
          <w:rStyle w:val="16"/>
          <w:rFonts w:hint="eastAsia"/>
        </w:rPr>
        <w:t>一般公共预算财政拨款项目支出决算表</w:t>
      </w:r>
      <w:r>
        <w:rPr>
          <w:rStyle w:val="16"/>
          <w:rFonts w:hint="eastAsia"/>
        </w:rPr>
        <w:fldChar w:fldCharType="end"/>
      </w:r>
    </w:p>
    <w:p>
      <w:pPr>
        <w:pStyle w:val="11"/>
      </w:pPr>
      <w:r>
        <w:rPr>
          <w:rFonts w:hint="eastAsia"/>
        </w:rPr>
        <w:t>十、</w:t>
      </w:r>
      <w:r>
        <w:fldChar w:fldCharType="begin"/>
      </w:r>
      <w:r>
        <w:instrText xml:space="preserve"> HYPERLINK \l "_Toc15396628" </w:instrText>
      </w:r>
      <w:r>
        <w:fldChar w:fldCharType="separate"/>
      </w:r>
      <w:r>
        <w:rPr>
          <w:rStyle w:val="16"/>
          <w:rFonts w:hint="eastAsia"/>
        </w:rPr>
        <w:t>一般公共预算财政拨款“三公”经费支出决算表</w:t>
      </w:r>
      <w:r>
        <w:rPr>
          <w:rStyle w:val="16"/>
          <w:rFonts w:hint="eastAsia"/>
        </w:rPr>
        <w:fldChar w:fldCharType="end"/>
      </w:r>
    </w:p>
    <w:p>
      <w:pPr>
        <w:pStyle w:val="11"/>
      </w:pPr>
      <w:r>
        <w:rPr>
          <w:rFonts w:hint="eastAsia"/>
        </w:rPr>
        <w:t>十一、</w:t>
      </w:r>
      <w:r>
        <w:fldChar w:fldCharType="begin"/>
      </w:r>
      <w:r>
        <w:instrText xml:space="preserve"> HYPERLINK \l "_Toc15396629" </w:instrText>
      </w:r>
      <w:r>
        <w:fldChar w:fldCharType="separate"/>
      </w:r>
      <w:r>
        <w:rPr>
          <w:rStyle w:val="16"/>
          <w:rFonts w:hint="eastAsia"/>
        </w:rPr>
        <w:t>政府性基金预算财政拨款收入支出决算表</w:t>
      </w:r>
      <w:r>
        <w:rPr>
          <w:rStyle w:val="16"/>
          <w:rFonts w:hint="eastAsia"/>
        </w:rPr>
        <w:fldChar w:fldCharType="end"/>
      </w:r>
    </w:p>
    <w:p>
      <w:pPr>
        <w:pStyle w:val="11"/>
      </w:pPr>
      <w:r>
        <w:rPr>
          <w:rFonts w:hint="eastAsia"/>
        </w:rPr>
        <w:t>十二、</w:t>
      </w:r>
      <w:r>
        <w:fldChar w:fldCharType="begin"/>
      </w:r>
      <w:r>
        <w:instrText xml:space="preserve"> HYPERLINK \l "_Toc15396630" </w:instrText>
      </w:r>
      <w:r>
        <w:fldChar w:fldCharType="separate"/>
      </w:r>
      <w:r>
        <w:rPr>
          <w:rStyle w:val="16"/>
          <w:rFonts w:hint="eastAsia"/>
        </w:rPr>
        <w:t>政府性基金预算财政拨款“三公”经费支出决算表</w:t>
      </w:r>
      <w:r>
        <w:rPr>
          <w:rStyle w:val="16"/>
          <w:rFonts w:hint="eastAsia"/>
        </w:rPr>
        <w:fldChar w:fldCharType="end"/>
      </w:r>
    </w:p>
    <w:p>
      <w:pPr>
        <w:pStyle w:val="11"/>
        <w:rPr>
          <w:sz w:val="24"/>
        </w:rPr>
      </w:pPr>
      <w:r>
        <w:rPr>
          <w:rFonts w:hint="eastAsia"/>
        </w:rPr>
        <w:t>十三、</w:t>
      </w:r>
      <w:r>
        <w:fldChar w:fldCharType="begin"/>
      </w:r>
      <w:r>
        <w:instrText xml:space="preserve"> HYPERLINK \l "_Toc15396631" </w:instrText>
      </w:r>
      <w:r>
        <w:fldChar w:fldCharType="separate"/>
      </w:r>
      <w:r>
        <w:rPr>
          <w:rStyle w:val="16"/>
          <w:rFonts w:hint="eastAsia"/>
        </w:rPr>
        <w:t>国有资本经营预算支出决算表</w:t>
      </w:r>
      <w:r>
        <w:rPr>
          <w:rStyle w:val="16"/>
          <w:rFonts w:hint="eastAsia"/>
        </w:rP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spacing w:line="240" w:lineRule="auto"/>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spacing w:line="240" w:lineRule="auto"/>
        <w:rPr>
          <w:rStyle w:val="18"/>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p>
    <w:p>
      <w:pPr>
        <w:pStyle w:val="5"/>
        <w:adjustRightInd w:val="0"/>
        <w:snapToGrid w:val="0"/>
        <w:spacing w:before="93"/>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ind w:firstLine="640" w:firstLineChars="200"/>
        <w:rPr>
          <w:rFonts w:ascii="仿宋" w:hAnsi="仿宋" w:eastAsia="仿宋"/>
          <w:sz w:val="32"/>
          <w:szCs w:val="32"/>
        </w:rPr>
      </w:pPr>
      <w:r>
        <w:rPr>
          <w:rFonts w:hint="eastAsia" w:ascii="仿宋" w:hAnsi="仿宋" w:eastAsia="仿宋"/>
          <w:sz w:val="32"/>
          <w:szCs w:val="32"/>
        </w:rPr>
        <w:t>1、贯彻实施中、省有关国民经济和社会发展、经济体制改革的方针、政策和法律、法规。拟订全市有关国民经济和社会发展、经济体制改革的政策草案,负责本系统、本部门依法行政工作，落实行政执法责任制。</w:t>
      </w:r>
    </w:p>
    <w:p>
      <w:pPr>
        <w:rPr>
          <w:rFonts w:ascii="仿宋" w:hAnsi="仿宋" w:eastAsia="仿宋"/>
          <w:sz w:val="32"/>
          <w:szCs w:val="32"/>
        </w:rPr>
      </w:pPr>
      <w:r>
        <w:rPr>
          <w:rFonts w:hint="eastAsia" w:ascii="仿宋" w:hAnsi="仿宋" w:eastAsia="仿宋"/>
          <w:sz w:val="32"/>
          <w:szCs w:val="32"/>
        </w:rPr>
        <w:t xml:space="preserve">    2、负责制定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rPr>
          <w:rFonts w:ascii="仿宋" w:hAnsi="仿宋" w:eastAsia="仿宋"/>
          <w:sz w:val="32"/>
          <w:szCs w:val="32"/>
        </w:rPr>
      </w:pPr>
      <w:r>
        <w:rPr>
          <w:rFonts w:hint="eastAsia" w:ascii="仿宋" w:hAnsi="仿宋" w:eastAsia="仿宋"/>
          <w:sz w:val="32"/>
          <w:szCs w:val="32"/>
        </w:rPr>
        <w:t xml:space="preserve">    3、负责监测宏观经济和社会发展态势，承担预测预警和信息引导的责任，研究宏观调控重大问题并提出政策建议，搞好总量平衡，综合协调经济社会发展中的重大问题。负责全市开发区的指导、协调和宏观管理。</w:t>
      </w:r>
    </w:p>
    <w:p>
      <w:pPr>
        <w:rPr>
          <w:rFonts w:ascii="仿宋" w:hAnsi="仿宋" w:eastAsia="仿宋"/>
          <w:sz w:val="32"/>
          <w:szCs w:val="32"/>
        </w:rPr>
      </w:pPr>
      <w:r>
        <w:rPr>
          <w:rFonts w:hint="eastAsia" w:ascii="仿宋" w:hAnsi="仿宋" w:eastAsia="仿宋"/>
          <w:sz w:val="32"/>
          <w:szCs w:val="32"/>
        </w:rPr>
        <w:t xml:space="preserve">    4、负责汇总分析全市财政、金融等方面情况，参与制定财政、金融、土地政策，综合分析政策执行效果，负责全市全口径外债的总量控制、结构优化和监测工作，提出多渠道融资的政策建议，综合协调财政、金融、价格和产业政策等经济杠杆，保证全市国民经济计划和发展规划的实施。</w:t>
      </w:r>
    </w:p>
    <w:p>
      <w:pPr>
        <w:rPr>
          <w:rFonts w:ascii="仿宋" w:hAnsi="仿宋" w:eastAsia="仿宋"/>
          <w:sz w:val="32"/>
          <w:szCs w:val="32"/>
        </w:rPr>
      </w:pPr>
      <w:r>
        <w:rPr>
          <w:rFonts w:hint="eastAsia" w:ascii="仿宋" w:hAnsi="仿宋" w:eastAsia="仿宋"/>
          <w:sz w:val="32"/>
          <w:szCs w:val="32"/>
        </w:rPr>
        <w:t xml:space="preserve">    5、承担指导推进和综合协调全市经济体制改革的责任，研究经济体制改革和对外开放的重大问题，组织制定综合性经济体制改革方案，协调有关专项经济体制改革方案，会同有关部门搞好重要专项经济体制改革之间的衔接，指导经济体制改革试点和改革试验区工作。</w:t>
      </w:r>
    </w:p>
    <w:p>
      <w:pPr>
        <w:ind w:firstLine="640" w:firstLineChars="200"/>
        <w:rPr>
          <w:rFonts w:ascii="仿宋" w:hAnsi="仿宋" w:eastAsia="仿宋"/>
          <w:sz w:val="32"/>
          <w:szCs w:val="32"/>
        </w:rPr>
      </w:pPr>
      <w:r>
        <w:rPr>
          <w:rFonts w:hint="eastAsia" w:ascii="仿宋" w:hAnsi="仿宋" w:eastAsia="仿宋"/>
          <w:sz w:val="32"/>
          <w:szCs w:val="32"/>
        </w:rPr>
        <w:t>6、贯彻实施中、省、市价格方面法律、法规和方针、政策，编制和执行价格调整改革规划，提出年度价格总水平调控目标及价格调控措施并组织实施，管理中、省、市列名管理的商品和服务价格，监管实行市场调节价的商品和服务价格，承担行政事业性收费管理工作，负责全市价格监督检查、价格成本调查监审、价格监测、价格认证等工作。</w:t>
      </w:r>
    </w:p>
    <w:p>
      <w:pPr>
        <w:ind w:firstLine="640" w:firstLineChars="200"/>
        <w:rPr>
          <w:rFonts w:ascii="仿宋" w:hAnsi="仿宋" w:eastAsia="仿宋"/>
          <w:sz w:val="32"/>
          <w:szCs w:val="32"/>
        </w:rPr>
      </w:pPr>
      <w:r>
        <w:rPr>
          <w:rFonts w:hint="eastAsia" w:ascii="仿宋" w:hAnsi="仿宋" w:eastAsia="仿宋"/>
          <w:sz w:val="32"/>
          <w:szCs w:val="32"/>
        </w:rPr>
        <w:t>7、负责全市投资宏观管理和协调推进重大项目建设。制定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ind w:firstLine="640" w:firstLineChars="200"/>
        <w:rPr>
          <w:rFonts w:ascii="仿宋" w:hAnsi="仿宋" w:eastAsia="仿宋"/>
          <w:sz w:val="32"/>
          <w:szCs w:val="32"/>
        </w:rPr>
      </w:pPr>
      <w:r>
        <w:rPr>
          <w:rFonts w:hint="eastAsia" w:ascii="仿宋" w:hAnsi="仿宋" w:eastAsia="仿宋"/>
          <w:sz w:val="32"/>
          <w:szCs w:val="32"/>
        </w:rPr>
        <w:t>8、推进经济结构战略性调整。组织制定全市综合性产业政策，负责协调第一、二、三产业发展的重大问题，衔接平衡相关发展规划和重大政策，协调农业和农村经济社会发展的重大问题，衔接农村专项规划和政策。制定重大产业发展规划，引导全市重大生产力合理布局，协调推进全市重大技术装备推广应用和重大产业基地建设，会同有关部门拟订服务业、现代物流业发展战略、规划和重大政策。组织制定高技术产业发展、产业技术进步的战略、规划和重大政策，指导全市自主创新体系建设发展。</w:t>
      </w:r>
    </w:p>
    <w:p>
      <w:pPr>
        <w:ind w:firstLine="640" w:firstLineChars="200"/>
        <w:rPr>
          <w:rFonts w:ascii="仿宋" w:hAnsi="仿宋" w:eastAsia="仿宋"/>
          <w:sz w:val="32"/>
          <w:szCs w:val="32"/>
        </w:rPr>
      </w:pPr>
      <w:r>
        <w:rPr>
          <w:rFonts w:hint="eastAsia" w:ascii="仿宋" w:hAnsi="仿宋" w:eastAsia="仿宋"/>
          <w:sz w:val="32"/>
          <w:szCs w:val="32"/>
        </w:rPr>
        <w:t>9、促进城乡区域协调发展。组织编制全市主体功能区规划并协调规划实施和进行监测评估，组织制定区域协调发展战略、规划和重大政策，研究提出城镇化发展战略和统筹城乡发展的重大政策，负责地区经济协作的统筹协调。</w:t>
      </w:r>
    </w:p>
    <w:p>
      <w:pPr>
        <w:ind w:firstLine="640" w:firstLineChars="200"/>
        <w:rPr>
          <w:rFonts w:ascii="仿宋" w:hAnsi="仿宋" w:eastAsia="仿宋"/>
          <w:sz w:val="32"/>
          <w:szCs w:val="32"/>
        </w:rPr>
      </w:pPr>
      <w:r>
        <w:rPr>
          <w:rFonts w:hint="eastAsia" w:ascii="仿宋" w:hAnsi="仿宋" w:eastAsia="仿宋"/>
          <w:sz w:val="32"/>
          <w:szCs w:val="32"/>
        </w:rPr>
        <w:t>10、负责重要商品总量平衡和宏观调控。研究分析市内外市场和对外贸易运行情况，编制重要农产品、工业品和原材料进出口总量计划并监督执行。会同有关部门管理粮食、棉花等重要物资和商品的市级储备工作，提出重要商品市场、生产要素市场的总体布局和发展规划。</w:t>
      </w:r>
    </w:p>
    <w:p>
      <w:pPr>
        <w:ind w:firstLine="640" w:firstLineChars="200"/>
        <w:rPr>
          <w:rFonts w:ascii="仿宋" w:hAnsi="仿宋" w:eastAsia="仿宋"/>
          <w:sz w:val="32"/>
          <w:szCs w:val="32"/>
        </w:rPr>
      </w:pPr>
      <w:r>
        <w:rPr>
          <w:rFonts w:hint="eastAsia" w:ascii="仿宋" w:hAnsi="仿宋" w:eastAsia="仿宋"/>
          <w:sz w:val="32"/>
          <w:szCs w:val="32"/>
        </w:rPr>
        <w:t>11、负责全市社会发展与国民经济发展的政策衔接，组织制定社会发展战略、总体规划和年度计划，参与制定人口和计划生育、科学技术、教育、文化、卫生、体育、民政、残联等发展政策，推进社会事业建设。研究提出促进就业、调整收入分配、完善社会保障与经济协调发展的政策建议，协调社会事业发展和政策中的重大问题及政策。</w:t>
      </w:r>
    </w:p>
    <w:p>
      <w:pPr>
        <w:ind w:firstLine="640" w:firstLineChars="200"/>
        <w:rPr>
          <w:rFonts w:ascii="仿宋" w:hAnsi="仿宋" w:eastAsia="仿宋"/>
          <w:sz w:val="32"/>
          <w:szCs w:val="32"/>
        </w:rPr>
      </w:pPr>
      <w:r>
        <w:rPr>
          <w:rFonts w:hint="eastAsia" w:ascii="仿宋" w:hAnsi="仿宋" w:eastAsia="仿宋"/>
          <w:sz w:val="32"/>
          <w:szCs w:val="32"/>
        </w:rPr>
        <w:t>12、推进可持续发展，负责全市节能减排的综合协调工作，组织制定并协调实施全市发展循环经济、能源资源节约和综合利用规划及政策措施，参与编制生态建设、环境保护规划，协调生态建设、能源资源节约和综合利用的重大问题，综合协调环保产业和清洁生产促进有关工作。组织实施省应对气候变化重大战略规划和政策，组织制定全市应对气候变化的规划和政策措施。</w:t>
      </w:r>
    </w:p>
    <w:p>
      <w:pPr>
        <w:ind w:firstLine="640" w:firstLineChars="200"/>
        <w:rPr>
          <w:rFonts w:ascii="仿宋" w:hAnsi="仿宋" w:eastAsia="仿宋"/>
          <w:sz w:val="32"/>
          <w:szCs w:val="32"/>
        </w:rPr>
      </w:pPr>
      <w:r>
        <w:rPr>
          <w:rFonts w:hint="eastAsia" w:ascii="仿宋" w:hAnsi="仿宋" w:eastAsia="仿宋"/>
          <w:sz w:val="32"/>
          <w:szCs w:val="32"/>
        </w:rPr>
        <w:t>13、指导、协调并综合管理全市招标投标工作，对重大建设项目建设过程中的工程招标投标活动实施监督检查。</w:t>
      </w:r>
    </w:p>
    <w:p>
      <w:pPr>
        <w:ind w:firstLine="640" w:firstLineChars="200"/>
        <w:rPr>
          <w:rFonts w:ascii="仿宋" w:hAnsi="仿宋" w:eastAsia="仿宋"/>
          <w:sz w:val="32"/>
          <w:szCs w:val="32"/>
        </w:rPr>
      </w:pPr>
      <w:r>
        <w:rPr>
          <w:rFonts w:hint="eastAsia" w:ascii="仿宋" w:hAnsi="仿宋" w:eastAsia="仿宋"/>
          <w:sz w:val="32"/>
          <w:szCs w:val="32"/>
        </w:rPr>
        <w:t>14、负责组织协调和处理全市铁路建设项目前期工作、征地拆迁、建设过程中涉及的重大问题，协同做好全市铁路建设规划及年度计划编制的相关工作。</w:t>
      </w:r>
    </w:p>
    <w:p>
      <w:pPr>
        <w:ind w:firstLine="640" w:firstLineChars="200"/>
        <w:rPr>
          <w:rFonts w:ascii="仿宋" w:hAnsi="仿宋" w:eastAsia="仿宋"/>
          <w:sz w:val="32"/>
          <w:szCs w:val="32"/>
        </w:rPr>
      </w:pPr>
      <w:r>
        <w:rPr>
          <w:rFonts w:hint="eastAsia" w:ascii="仿宋" w:hAnsi="仿宋" w:eastAsia="仿宋"/>
          <w:sz w:val="32"/>
          <w:szCs w:val="32"/>
        </w:rPr>
        <w:t>15、负责组织编制全市国民经济动员与装备动员规划、计划，研究国民经济动员与装备动员和国民经济、国防建设的关系，协调相关重大问题，组织实施国民经济动员与装备动员有关工作。</w:t>
      </w:r>
    </w:p>
    <w:p>
      <w:pPr>
        <w:ind w:firstLine="640" w:firstLineChars="200"/>
        <w:rPr>
          <w:rFonts w:ascii="仿宋" w:hAnsi="仿宋" w:eastAsia="仿宋"/>
          <w:sz w:val="32"/>
          <w:szCs w:val="32"/>
        </w:rPr>
      </w:pPr>
      <w:r>
        <w:rPr>
          <w:rFonts w:hint="eastAsia" w:ascii="仿宋" w:hAnsi="仿宋" w:eastAsia="仿宋"/>
          <w:sz w:val="32"/>
          <w:szCs w:val="32"/>
        </w:rPr>
        <w:t>16、承担实施市重点工程领导小组、市应对气候变化及节能减排工作领导小组的具体工作。</w:t>
      </w:r>
    </w:p>
    <w:p>
      <w:pPr>
        <w:ind w:firstLine="640" w:firstLineChars="200"/>
        <w:rPr>
          <w:rFonts w:ascii="仿宋" w:hAnsi="仿宋" w:eastAsia="仿宋"/>
          <w:sz w:val="32"/>
          <w:szCs w:val="32"/>
        </w:rPr>
      </w:pPr>
      <w:r>
        <w:rPr>
          <w:rFonts w:hint="eastAsia" w:ascii="仿宋" w:hAnsi="仿宋" w:eastAsia="仿宋"/>
          <w:sz w:val="32"/>
          <w:szCs w:val="32"/>
        </w:rPr>
        <w:t>17、承担市政府公布的有关行政审批事项。</w:t>
      </w:r>
    </w:p>
    <w:p>
      <w:pPr>
        <w:ind w:firstLine="640" w:firstLineChars="200"/>
        <w:rPr>
          <w:rFonts w:ascii="仿宋" w:hAnsi="仿宋" w:eastAsia="仿宋"/>
          <w:sz w:val="32"/>
          <w:szCs w:val="32"/>
        </w:rPr>
      </w:pPr>
      <w:r>
        <w:rPr>
          <w:rFonts w:hint="eastAsia" w:ascii="仿宋" w:hAnsi="仿宋" w:eastAsia="仿宋"/>
          <w:sz w:val="32"/>
          <w:szCs w:val="32"/>
        </w:rPr>
        <w:t>18、承办政府交办的其他事项。</w:t>
      </w:r>
    </w:p>
    <w:p>
      <w:pPr>
        <w:pStyle w:val="5"/>
        <w:adjustRightInd w:val="0"/>
        <w:snapToGrid w:val="0"/>
        <w:spacing w:before="93"/>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cs="仿宋_GB2312"/>
          <w:bCs/>
          <w:sz w:val="32"/>
          <w:szCs w:val="32"/>
        </w:rPr>
        <w:t>一是谋划发展全局，参谋作用发挥明显。二是狠抓项目投资，支撑作用不断强化。三是深化改革开放，发展动力不断增强。四是加快绿色发展，发展质量不断提高。五是构建“一核三片”发展格局，区域经济协调发展。六是推进重大设施建设，发展基础不断提升。七是实施乡村振兴，脱贫攻坚不断夯实。八是规范市场行为，发展环境不断优化。</w:t>
      </w:r>
      <w:bookmarkStart w:id="20" w:name="_Toc15396601"/>
      <w:bookmarkStart w:id="21" w:name="_Toc15377200"/>
    </w:p>
    <w:p>
      <w:pPr>
        <w:pBdr>
          <w:top w:val="single" w:color="FFFFFF" w:sz="4" w:space="0"/>
          <w:left w:val="single" w:color="FFFFFF" w:sz="4" w:space="31"/>
          <w:bottom w:val="single" w:color="FFFFFF" w:sz="4" w:space="31"/>
          <w:right w:val="single" w:color="FFFFFF" w:sz="4" w:space="17"/>
        </w:pBdr>
        <w:ind w:firstLine="640"/>
        <w:rPr>
          <w:rStyle w:val="18"/>
          <w:rFonts w:ascii="仿宋" w:hAnsi="仿宋" w:eastAsia="仿宋" w:cs="仿宋_GB2312"/>
          <w:b w:val="0"/>
        </w:rPr>
      </w:pPr>
      <w:r>
        <w:rPr>
          <w:rFonts w:hint="eastAsia" w:ascii="黑体" w:eastAsia="黑体"/>
          <w:b/>
          <w:color w:val="000000"/>
          <w:sz w:val="32"/>
          <w:szCs w:val="32"/>
        </w:rPr>
        <w:t>二、</w:t>
      </w:r>
      <w:r>
        <w:rPr>
          <w:rFonts w:hint="eastAsia" w:ascii="黑体" w:hAnsi="黑体" w:eastAsia="黑体"/>
          <w:b/>
          <w:color w:val="000000"/>
          <w:sz w:val="32"/>
          <w:szCs w:val="32"/>
        </w:rPr>
        <w:t>机</w:t>
      </w:r>
      <w:r>
        <w:rPr>
          <w:rStyle w:val="18"/>
          <w:rFonts w:hint="eastAsia" w:ascii="黑体" w:hAnsi="黑体" w:eastAsia="黑体"/>
        </w:rPr>
        <w:t>构设置</w:t>
      </w:r>
      <w:bookmarkEnd w:id="20"/>
      <w:bookmarkEnd w:id="21"/>
    </w:p>
    <w:p>
      <w:pPr>
        <w:pBdr>
          <w:top w:val="single" w:color="FFFFFF" w:sz="4" w:space="0"/>
          <w:left w:val="single" w:color="FFFFFF" w:sz="4" w:space="31"/>
          <w:bottom w:val="single" w:color="FFFFFF" w:sz="4" w:space="31"/>
          <w:right w:val="single" w:color="FFFFFF" w:sz="4" w:space="17"/>
        </w:pBdr>
        <w:ind w:firstLine="640"/>
        <w:rPr>
          <w:rFonts w:ascii="仿宋" w:hAnsi="仿宋" w:eastAsia="仿宋"/>
          <w:sz w:val="32"/>
          <w:szCs w:val="32"/>
        </w:rPr>
      </w:pPr>
      <w:r>
        <w:rPr>
          <w:rFonts w:hint="eastAsia" w:ascii="仿宋" w:hAnsi="仿宋" w:eastAsia="仿宋"/>
          <w:sz w:val="32"/>
          <w:szCs w:val="32"/>
        </w:rPr>
        <w:t>市发展改革委下属二级单位1个，其中行政单位0个，参照公务员法管理的事业单位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个，其他事业单位1个（价格认定中心，未实行独立经费预算）。</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sz w:val="32"/>
          <w:szCs w:val="32"/>
        </w:rPr>
        <w:t>市发展改革委无纳入</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spacing w:line="240" w:lineRule="auto"/>
        <w:ind w:right="440"/>
        <w:jc w:val="right"/>
        <w:rPr>
          <w:rStyle w:val="1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22"/>
      <w:bookmarkEnd w:id="23"/>
    </w:p>
    <w:p/>
    <w:p>
      <w:pPr>
        <w:pStyle w:val="27"/>
        <w:numPr>
          <w:ilvl w:val="0"/>
          <w:numId w:val="1"/>
        </w:numPr>
        <w:ind w:firstLineChars="0"/>
        <w:outlineLvl w:val="1"/>
        <w:rPr>
          <w:rStyle w:val="1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24"/>
      <w:bookmarkEnd w:id="25"/>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年度收、支总计10549.58万元。与</w:t>
      </w:r>
      <w:r>
        <w:rPr>
          <w:rFonts w:ascii="仿宋" w:hAnsi="仿宋" w:eastAsia="仿宋"/>
          <w:color w:val="000000"/>
          <w:sz w:val="32"/>
          <w:szCs w:val="32"/>
        </w:rPr>
        <w:t>2017</w:t>
      </w:r>
      <w:r>
        <w:rPr>
          <w:rFonts w:hint="eastAsia" w:ascii="仿宋" w:hAnsi="仿宋" w:eastAsia="仿宋"/>
          <w:color w:val="000000"/>
          <w:sz w:val="32"/>
          <w:szCs w:val="32"/>
        </w:rPr>
        <w:t>年相比，收、支总计各增加873.9万元，增长9.03</w:t>
      </w:r>
      <w:r>
        <w:rPr>
          <w:rFonts w:ascii="仿宋" w:hAnsi="仿宋" w:eastAsia="仿宋"/>
          <w:color w:val="000000"/>
          <w:sz w:val="32"/>
          <w:szCs w:val="32"/>
        </w:rPr>
        <w:t>%</w:t>
      </w:r>
      <w:r>
        <w:rPr>
          <w:rFonts w:hint="eastAsia" w:ascii="仿宋" w:hAnsi="仿宋" w:eastAsia="仿宋"/>
          <w:color w:val="000000"/>
          <w:sz w:val="32"/>
          <w:szCs w:val="32"/>
        </w:rPr>
        <w:t>。主要变动原因是增加2018绿经会会议费、动车冠名费、火车站候车室占用费及设备养护费、规划编制费、住房公积金缴费增加等。</w:t>
      </w:r>
    </w:p>
    <w:p>
      <w:pPr>
        <w:ind w:firstLine="1606" w:firstLineChars="5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收、支决算总计变动情况图</w:t>
      </w:r>
    </w:p>
    <w:p>
      <w:pPr>
        <w:ind w:firstLine="960" w:firstLineChars="300"/>
        <w:jc w:val="left"/>
        <w:rPr>
          <w:rFonts w:ascii="仿宋_GB2312" w:eastAsia="仿宋_GB2312"/>
          <w:color w:val="000000"/>
          <w:sz w:val="32"/>
          <w:szCs w:val="32"/>
        </w:rPr>
      </w:pPr>
      <w:r>
        <w:rPr>
          <w:rFonts w:hint="eastAsia" w:ascii="仿宋_GB2312" w:eastAsia="仿宋_GB2312"/>
          <w:color w:val="000000"/>
          <w:sz w:val="32"/>
          <w:szCs w:val="32"/>
        </w:rPr>
        <w:drawing>
          <wp:inline distT="0" distB="0" distL="0" distR="0">
            <wp:extent cx="3128010" cy="1905000"/>
            <wp:effectExtent l="19050" t="0" r="1524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numPr>
          <w:ilvl w:val="0"/>
          <w:numId w:val="1"/>
        </w:numPr>
        <w:ind w:firstLineChars="0"/>
        <w:outlineLvl w:val="1"/>
        <w:rPr>
          <w:rStyle w:val="1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26"/>
      <w:bookmarkEnd w:id="27"/>
    </w:p>
    <w:p>
      <w:pPr>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年本年收入合计3416.64万元，其中：一般公共预算财政拨款收入2875.24万元，占84.15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；其他收入541.40万元，占15.85</w:t>
      </w:r>
      <w:r>
        <w:rPr>
          <w:rFonts w:ascii="仿宋" w:hAnsi="仿宋" w:eastAsia="仿宋"/>
          <w:color w:val="000000"/>
          <w:sz w:val="32"/>
          <w:szCs w:val="32"/>
        </w:rPr>
        <w:t>%</w:t>
      </w:r>
      <w:r>
        <w:rPr>
          <w:rFonts w:hint="eastAsia" w:ascii="仿宋" w:hAnsi="仿宋" w:eastAsia="仿宋"/>
          <w:color w:val="000000"/>
          <w:sz w:val="32"/>
          <w:szCs w:val="32"/>
        </w:rPr>
        <w:t>。</w:t>
      </w:r>
    </w:p>
    <w:p>
      <w:pPr>
        <w:ind w:firstLine="640" w:firstLineChars="200"/>
        <w:rPr>
          <w:rFonts w:ascii="仿宋" w:hAnsi="仿宋" w:eastAsia="仿宋"/>
          <w:color w:val="000000"/>
          <w:sz w:val="32"/>
          <w:szCs w:val="32"/>
        </w:rPr>
      </w:pPr>
    </w:p>
    <w:p>
      <w:pPr>
        <w:ind w:firstLine="640" w:firstLineChars="200"/>
        <w:rPr>
          <w:rFonts w:ascii="仿宋" w:hAnsi="仿宋" w:eastAsia="仿宋"/>
          <w:color w:val="000000"/>
          <w:sz w:val="32"/>
          <w:szCs w:val="32"/>
        </w:rPr>
      </w:pPr>
    </w:p>
    <w:p>
      <w:pPr>
        <w:ind w:firstLine="2570" w:firstLineChars="8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收入决算结构图</w:t>
      </w:r>
    </w:p>
    <w:p>
      <w:pPr>
        <w:ind w:firstLine="1120" w:firstLineChars="350"/>
        <w:rPr>
          <w:rFonts w:ascii="仿宋_GB2312" w:eastAsia="仿宋_GB2312"/>
          <w:color w:val="FF0000"/>
          <w:sz w:val="32"/>
          <w:szCs w:val="32"/>
        </w:rPr>
      </w:pPr>
      <w:r>
        <w:rPr>
          <w:rFonts w:hint="eastAsia" w:ascii="仿宋" w:hAnsi="仿宋" w:eastAsia="仿宋"/>
          <w:color w:val="000000"/>
          <w:sz w:val="32"/>
          <w:szCs w:val="32"/>
        </w:rPr>
        <w:drawing>
          <wp:inline distT="0" distB="0" distL="0" distR="0">
            <wp:extent cx="3150870" cy="1760220"/>
            <wp:effectExtent l="19050" t="0" r="1143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1"/>
        </w:numPr>
        <w:ind w:firstLineChars="0"/>
        <w:outlineLvl w:val="1"/>
        <w:rPr>
          <w:rStyle w:val="1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8"/>
          <w:rFonts w:hint="eastAsia" w:ascii="黑体" w:hAnsi="黑体" w:eastAsia="黑体"/>
          <w:b w:val="0"/>
        </w:rPr>
        <w:t>出决算情况说明</w:t>
      </w:r>
      <w:bookmarkEnd w:id="28"/>
      <w:bookmarkEnd w:id="29"/>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年本年支出合计3178.14万元，其中：基本支出2161.03万元，占68</w:t>
      </w:r>
      <w:r>
        <w:rPr>
          <w:rFonts w:ascii="仿宋" w:hAnsi="仿宋" w:eastAsia="仿宋"/>
          <w:color w:val="000000"/>
          <w:sz w:val="32"/>
          <w:szCs w:val="32"/>
        </w:rPr>
        <w:t>%</w:t>
      </w:r>
      <w:r>
        <w:rPr>
          <w:rFonts w:hint="eastAsia" w:ascii="仿宋" w:hAnsi="仿宋" w:eastAsia="仿宋"/>
          <w:color w:val="000000"/>
          <w:sz w:val="32"/>
          <w:szCs w:val="32"/>
        </w:rPr>
        <w:t>；项目支出1017.11万元，占32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2248" w:firstLineChars="7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支出决算结构图</w:t>
      </w:r>
    </w:p>
    <w:p>
      <w:pPr>
        <w:ind w:firstLine="1120" w:firstLineChars="350"/>
        <w:rPr>
          <w:rFonts w:ascii="仿宋_GB2312" w:eastAsia="仿宋_GB2312"/>
          <w:color w:val="FF0000"/>
          <w:sz w:val="32"/>
          <w:szCs w:val="32"/>
        </w:rPr>
      </w:pPr>
      <w:r>
        <w:rPr>
          <w:rFonts w:hint="eastAsia" w:ascii="仿宋_GB2312" w:eastAsia="仿宋_GB2312"/>
          <w:color w:val="FF0000"/>
          <w:sz w:val="32"/>
          <w:szCs w:val="32"/>
        </w:rPr>
        <w:drawing>
          <wp:inline distT="0" distB="0" distL="0" distR="0">
            <wp:extent cx="2861310" cy="1516380"/>
            <wp:effectExtent l="19050" t="0" r="15240" b="762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outlineLvl w:val="1"/>
        <w:rPr>
          <w:rStyle w:val="18"/>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30"/>
      <w:bookmarkEnd w:id="31"/>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年财政拨款收、支总计2936.44万元。与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年相比，财政拨款收、支总计各增加1115.52万元，增长61.26</w:t>
      </w:r>
      <w:r>
        <w:rPr>
          <w:rFonts w:ascii="仿宋" w:hAnsi="仿宋" w:eastAsia="仿宋"/>
          <w:color w:val="000000"/>
          <w:sz w:val="32"/>
          <w:szCs w:val="32"/>
        </w:rPr>
        <w:t>%</w:t>
      </w:r>
      <w:r>
        <w:rPr>
          <w:rFonts w:hint="eastAsia" w:ascii="仿宋" w:hAnsi="仿宋" w:eastAsia="仿宋"/>
          <w:color w:val="000000"/>
          <w:sz w:val="32"/>
          <w:szCs w:val="32"/>
        </w:rPr>
        <w:t>。主要变动原因是增加2018绿经会会议费、动车冠名费、火车站候车室占用费及设备养护费、规划编制费、住房公积金缴费增加等。</w:t>
      </w:r>
    </w:p>
    <w:p>
      <w:pPr>
        <w:ind w:firstLine="640" w:firstLineChars="200"/>
        <w:rPr>
          <w:rFonts w:ascii="仿宋" w:hAnsi="仿宋" w:eastAsia="仿宋"/>
          <w:color w:val="000000"/>
          <w:sz w:val="32"/>
          <w:szCs w:val="32"/>
        </w:rPr>
      </w:pPr>
    </w:p>
    <w:p>
      <w:pPr>
        <w:ind w:firstLine="1285" w:firstLineChars="400"/>
        <w:rPr>
          <w:rFonts w:asciiTheme="minorEastAsia" w:hAnsiTheme="minorEastAsia" w:eastAsiaTheme="minorEastAsia"/>
          <w:b/>
          <w:color w:val="00B050"/>
          <w:sz w:val="32"/>
          <w:szCs w:val="32"/>
        </w:rPr>
      </w:pPr>
      <w:r>
        <w:rPr>
          <w:rFonts w:hint="eastAsia" w:asciiTheme="minorEastAsia" w:hAnsiTheme="minorEastAsia" w:eastAsiaTheme="minorEastAsia"/>
          <w:b/>
          <w:color w:val="000000"/>
          <w:sz w:val="32"/>
          <w:szCs w:val="32"/>
        </w:rPr>
        <w:t>财政拨款收、支决算总计变动情况</w:t>
      </w:r>
    </w:p>
    <w:p>
      <w:pPr>
        <w:ind w:firstLine="1445" w:firstLineChars="450"/>
        <w:rPr>
          <w:rFonts w:ascii="仿宋" w:hAnsi="仿宋" w:eastAsia="仿宋"/>
          <w:b/>
          <w:color w:val="00B050"/>
          <w:sz w:val="32"/>
          <w:szCs w:val="32"/>
        </w:rPr>
      </w:pPr>
      <w:r>
        <w:rPr>
          <w:rFonts w:hint="eastAsia" w:ascii="仿宋" w:hAnsi="仿宋" w:eastAsia="仿宋"/>
          <w:b/>
          <w:color w:val="00B050"/>
          <w:sz w:val="32"/>
          <w:szCs w:val="32"/>
        </w:rPr>
        <w:drawing>
          <wp:inline distT="0" distB="0" distL="0" distR="0">
            <wp:extent cx="2807970" cy="2232660"/>
            <wp:effectExtent l="19050" t="0" r="1143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640" w:firstLineChars="200"/>
        <w:outlineLvl w:val="1"/>
        <w:rPr>
          <w:rStyle w:val="1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32"/>
      <w:bookmarkEnd w:id="33"/>
    </w:p>
    <w:p>
      <w:pPr>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年一般公共预算财政拨款支出2643.59万元，占本年支出合计的83.18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年相比，一般公共预算财政拨款增加849.34万元，增长47.34</w:t>
      </w:r>
      <w:r>
        <w:rPr>
          <w:rFonts w:ascii="仿宋" w:hAnsi="仿宋" w:eastAsia="仿宋"/>
          <w:color w:val="000000"/>
          <w:sz w:val="32"/>
          <w:szCs w:val="32"/>
        </w:rPr>
        <w:t>%</w:t>
      </w:r>
      <w:r>
        <w:rPr>
          <w:rFonts w:hint="eastAsia" w:ascii="仿宋" w:hAnsi="仿宋" w:eastAsia="仿宋"/>
          <w:color w:val="000000"/>
          <w:sz w:val="32"/>
          <w:szCs w:val="32"/>
        </w:rPr>
        <w:t>。主要变动原因是增加2018绿经会会议费、动车冠名费、火车站候车室占用费及设备养护费、规划编制费、住房公积金缴费增加等。</w:t>
      </w:r>
    </w:p>
    <w:p>
      <w:pPr>
        <w:ind w:firstLine="963" w:firstLineChars="30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一般公共预算财政拨款支出决算变动情况</w:t>
      </w:r>
    </w:p>
    <w:p>
      <w:pPr>
        <w:ind w:firstLine="1600" w:firstLineChars="5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2853690" cy="2308860"/>
            <wp:effectExtent l="19050" t="0" r="22860"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年一般公共预算财政拨款支出2643.59万元，主要用于以下方面</w:t>
      </w:r>
      <w:r>
        <w:rPr>
          <w:rFonts w:ascii="仿宋" w:hAnsi="仿宋" w:eastAsia="仿宋"/>
          <w:color w:val="000000"/>
          <w:sz w:val="32"/>
          <w:szCs w:val="32"/>
        </w:rPr>
        <w:t>:</w:t>
      </w:r>
      <w:r>
        <w:rPr>
          <w:rFonts w:hint="eastAsia" w:ascii="仿宋" w:hAnsi="仿宋" w:eastAsia="仿宋"/>
          <w:color w:val="000000"/>
          <w:sz w:val="32"/>
          <w:szCs w:val="32"/>
        </w:rPr>
        <w:t>一般公共服务（类）支出1759.75万元，占66.57</w:t>
      </w:r>
      <w:r>
        <w:rPr>
          <w:rFonts w:ascii="仿宋" w:hAnsi="仿宋" w:eastAsia="仿宋"/>
          <w:color w:val="000000"/>
          <w:sz w:val="32"/>
          <w:szCs w:val="32"/>
        </w:rPr>
        <w:t>%</w:t>
      </w:r>
      <w:r>
        <w:rPr>
          <w:rFonts w:hint="eastAsia" w:ascii="仿宋" w:hAnsi="仿宋" w:eastAsia="仿宋"/>
          <w:color w:val="000000"/>
          <w:sz w:val="32"/>
          <w:szCs w:val="32"/>
        </w:rPr>
        <w:t>；社会保障和就业（类）支出143.29万元，占5.42</w:t>
      </w:r>
      <w:r>
        <w:rPr>
          <w:rFonts w:ascii="仿宋" w:hAnsi="仿宋" w:eastAsia="仿宋"/>
          <w:color w:val="000000"/>
          <w:sz w:val="32"/>
          <w:szCs w:val="32"/>
        </w:rPr>
        <w:t>%</w:t>
      </w:r>
      <w:r>
        <w:rPr>
          <w:rFonts w:hint="eastAsia" w:ascii="仿宋" w:hAnsi="仿宋" w:eastAsia="仿宋"/>
          <w:color w:val="000000"/>
          <w:sz w:val="32"/>
          <w:szCs w:val="32"/>
        </w:rPr>
        <w:t>；医疗卫生支出52.48万元，占1.99</w:t>
      </w:r>
      <w:r>
        <w:rPr>
          <w:rFonts w:ascii="仿宋" w:hAnsi="仿宋" w:eastAsia="仿宋"/>
          <w:color w:val="000000"/>
          <w:sz w:val="32"/>
          <w:szCs w:val="32"/>
        </w:rPr>
        <w:t>%</w:t>
      </w:r>
      <w:r>
        <w:rPr>
          <w:rFonts w:hint="eastAsia" w:ascii="仿宋" w:hAnsi="仿宋" w:eastAsia="仿宋"/>
          <w:color w:val="000000"/>
          <w:sz w:val="32"/>
          <w:szCs w:val="32"/>
        </w:rPr>
        <w:t>；农林水支出7万元，占0.3%；交通运输支出300万元，占11.35%；住房保障支出119.34万元，占4.51</w:t>
      </w:r>
      <w:r>
        <w:rPr>
          <w:rFonts w:ascii="仿宋" w:hAnsi="仿宋" w:eastAsia="仿宋"/>
          <w:color w:val="000000"/>
          <w:sz w:val="32"/>
          <w:szCs w:val="32"/>
        </w:rPr>
        <w:t>%</w:t>
      </w:r>
      <w:r>
        <w:rPr>
          <w:rFonts w:hint="eastAsia" w:ascii="仿宋" w:hAnsi="仿宋" w:eastAsia="仿宋"/>
          <w:color w:val="000000"/>
          <w:sz w:val="32"/>
          <w:szCs w:val="32"/>
        </w:rPr>
        <w:t>；其他支出261.73万元，占9.90%。</w:t>
      </w:r>
      <w:r>
        <w:rPr>
          <w:rFonts w:hint="eastAsia" w:ascii="仿宋" w:hAnsi="仿宋" w:eastAsia="仿宋"/>
          <w:b/>
          <w:color w:val="000000"/>
          <w:sz w:val="32"/>
          <w:szCs w:val="32"/>
        </w:rPr>
        <w:t>）</w:t>
      </w:r>
    </w:p>
    <w:p>
      <w:pPr>
        <w:ind w:firstLine="2088" w:firstLineChars="65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一般公共预算财政拨款支出决算结构</w:t>
      </w:r>
    </w:p>
    <w:p>
      <w:pPr>
        <w:ind w:firstLine="1600" w:firstLineChars="5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118610" cy="2141220"/>
            <wp:effectExtent l="19050" t="0" r="15240" b="0"/>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6" w:name="_Toc15377212"/>
    </w:p>
    <w:p>
      <w:pPr>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ind w:firstLine="642" w:firstLineChars="200"/>
        <w:outlineLvl w:val="2"/>
        <w:rPr>
          <w:rFonts w:ascii="仿宋" w:hAnsi="仿宋" w:eastAsia="仿宋"/>
          <w:color w:val="FF0000"/>
          <w:sz w:val="32"/>
          <w:szCs w:val="32"/>
        </w:rPr>
      </w:pPr>
      <w:bookmarkStart w:id="37" w:name="_Toc15377444"/>
      <w:bookmarkStart w:id="38" w:name="_Toc15377213"/>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年一般公共预算支出决算数为2643.59</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一般公共服务（类）发展与改革事务（款）行政运行（项）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支出决算为1288.19万元，完成预算100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Style w:val="14"/>
          <w:rFonts w:ascii="仿宋" w:hAnsi="仿宋" w:eastAsia="仿宋"/>
          <w:b w:val="0"/>
          <w:color w:val="000000" w:themeColor="text1"/>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 xml:space="preserve"> 一般公共服务（类）发展与改革事务（款）一般行政管理事务（项）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支出决算为357.94万元，完成预算97.14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Fonts w:hint="eastAsia" w:ascii="仿宋" w:hAnsi="仿宋" w:eastAsia="仿宋"/>
          <w:color w:val="000000" w:themeColor="text1"/>
          <w:sz w:val="32"/>
          <w:szCs w:val="32"/>
        </w:rPr>
        <w:t>有项目待付资金。</w:t>
      </w:r>
    </w:p>
    <w:p>
      <w:pPr>
        <w:ind w:firstLine="642" w:firstLineChars="200"/>
        <w:rPr>
          <w:rStyle w:val="14"/>
          <w:rFonts w:ascii="仿宋" w:hAnsi="仿宋" w:eastAsia="仿宋"/>
          <w:bCs/>
          <w:color w:val="000000"/>
          <w:sz w:val="32"/>
          <w:szCs w:val="32"/>
        </w:rPr>
      </w:pPr>
      <w:r>
        <w:rPr>
          <w:rStyle w:val="14"/>
          <w:rFonts w:hint="eastAsia" w:ascii="仿宋" w:hAnsi="仿宋" w:eastAsia="仿宋"/>
          <w:bCs/>
          <w:color w:val="000000"/>
          <w:sz w:val="32"/>
          <w:szCs w:val="32"/>
        </w:rPr>
        <w:t>3.一般公共服务（类）发展与改革事务（款）事业运行（项）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支出决算为88.08万元，完成预算100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4.一般公共服务（类）发展与改革事务（款）其他发展与改革事务支出（项）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支出决算为17.54万元，完成预算100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5.一般公共服务（类）商贸事务（款）招商引资（项）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支出决算为8万元，完成预算69.57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Fonts w:hint="eastAsia" w:ascii="仿宋" w:hAnsi="仿宋" w:eastAsia="仿宋"/>
          <w:color w:val="000000" w:themeColor="text1"/>
          <w:sz w:val="32"/>
          <w:szCs w:val="32"/>
        </w:rPr>
        <w:t>有项目待付资金。</w:t>
      </w:r>
    </w:p>
    <w:p>
      <w:pPr>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社会保障和就业支出（类）行政事业单位离退休（款）</w:t>
      </w:r>
      <w:r>
        <w:rPr>
          <w:rStyle w:val="14"/>
          <w:rFonts w:hint="eastAsia" w:ascii="仿宋" w:hAnsi="仿宋" w:eastAsia="仿宋"/>
          <w:b w:val="0"/>
          <w:color w:val="000000" w:themeColor="text1"/>
          <w:sz w:val="32"/>
          <w:szCs w:val="32"/>
        </w:rPr>
        <w:t>未归口管理的行政单位离退休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支出决算为29.90万元，完成预算100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2" w:firstLineChars="200"/>
        <w:rPr>
          <w:rStyle w:val="14"/>
          <w:rFonts w:ascii="仿宋" w:hAnsi="仿宋" w:eastAsia="仿宋"/>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社会保障和就业支出（类）行政事业单位离退休（款）</w:t>
      </w:r>
      <w:r>
        <w:rPr>
          <w:rStyle w:val="14"/>
          <w:rFonts w:hint="eastAsia" w:ascii="仿宋" w:hAnsi="仿宋" w:eastAsia="仿宋"/>
          <w:b w:val="0"/>
          <w:color w:val="000000" w:themeColor="text1"/>
          <w:sz w:val="32"/>
          <w:szCs w:val="32"/>
        </w:rPr>
        <w:t>机关事业单位基本养老保险缴费</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支出决算为110万元，完成预算73.29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。决算数小于预算数的主要原因是市发展改革委在</w:t>
      </w:r>
      <w:r>
        <w:rPr>
          <w:rFonts w:hint="eastAsia" w:ascii="仿宋" w:hAnsi="仿宋" w:eastAsia="仿宋"/>
          <w:color w:val="000000" w:themeColor="text1"/>
          <w:sz w:val="32"/>
          <w:szCs w:val="32"/>
        </w:rPr>
        <w:t>社保局养老保险账户结余40.08万元，用于抵扣2019年养老保险费。</w:t>
      </w:r>
    </w:p>
    <w:p>
      <w:pPr>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社会保障和就业支邮（类）抚恤（款）死亡抚恤（项）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支出决算为3.39万元，完成预算99.12</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，决算数小于预算数的主要原因是结余资金待支付。</w:t>
      </w:r>
    </w:p>
    <w:p>
      <w:pPr>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医疗卫生与计划生育（类）行政事业单位医疗（款）行政单位医疗（项）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支出决算为47.49万元，完成预算100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支出决算为4.27万元，完成预算100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11.医疗卫生与计划生育（类）医疗救助（款）其他医疗救助支出（项）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支出决算为0.72万元，完成预算61.54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，决算数小于预算数的主要原因是应付2018年</w:t>
      </w:r>
      <w:r>
        <w:rPr>
          <w:rFonts w:hint="eastAsia" w:ascii="仿宋" w:hAnsi="仿宋" w:eastAsia="仿宋"/>
          <w:color w:val="000000" w:themeColor="text1"/>
          <w:sz w:val="32"/>
          <w:szCs w:val="32"/>
        </w:rPr>
        <w:t>退休困难职工大病医疗救助0.45万元待支付。</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农林水支出（类）水利（款）其他水利支出（项）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支出决算为7万元，完成预算100</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交通运输支出（类）铁路运输（款）其他铁路运输支出（项）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支出决算为300万元，完成预算100</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支出决算为119.34万元，完成预算100</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p>
    <w:p>
      <w:pPr>
        <w:ind w:firstLine="640"/>
        <w:rPr>
          <w:rFonts w:ascii="仿宋" w:hAnsi="仿宋" w:eastAsia="仿宋"/>
          <w:color w:val="000000" w:themeColor="text1"/>
          <w:sz w:val="32"/>
          <w:szCs w:val="32"/>
        </w:rPr>
      </w:pPr>
      <w:r>
        <w:rPr>
          <w:rStyle w:val="14"/>
          <w:rFonts w:hint="eastAsia" w:ascii="仿宋" w:hAnsi="仿宋" w:eastAsia="仿宋"/>
          <w:bCs/>
          <w:color w:val="000000"/>
          <w:sz w:val="32"/>
          <w:szCs w:val="32"/>
        </w:rPr>
        <w:t>15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其他支出（类）其他支出（款）其他支出（项）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支出决算为261.73万元，完成预算52.35</w:t>
      </w:r>
      <w:r>
        <w:rPr>
          <w:rStyle w:val="14"/>
          <w:rFonts w:ascii="仿宋" w:hAnsi="仿宋" w:eastAsia="仿宋"/>
          <w:b w:val="0"/>
          <w:bCs/>
          <w:color w:val="000000"/>
          <w:sz w:val="32"/>
          <w:szCs w:val="32"/>
        </w:rPr>
        <w:t>%</w:t>
      </w:r>
      <w:r>
        <w:rPr>
          <w:rFonts w:hint="eastAsia" w:ascii="仿宋" w:hAnsi="仿宋" w:eastAsia="仿宋"/>
          <w:color w:val="000000" w:themeColor="text1"/>
          <w:sz w:val="32"/>
          <w:szCs w:val="32"/>
        </w:rPr>
        <w:t>，</w:t>
      </w:r>
      <w:r>
        <w:rPr>
          <w:rStyle w:val="14"/>
          <w:rFonts w:hint="eastAsia" w:ascii="仿宋" w:hAnsi="仿宋" w:eastAsia="仿宋"/>
          <w:b w:val="0"/>
          <w:bCs/>
          <w:color w:val="000000"/>
          <w:sz w:val="32"/>
          <w:szCs w:val="32"/>
        </w:rPr>
        <w:t>决算数小于预算数的主要原因是项目已完结，财政未收回结余资金。</w:t>
      </w:r>
    </w:p>
    <w:p>
      <w:pPr>
        <w:tabs>
          <w:tab w:val="right" w:pos="8306"/>
        </w:tabs>
        <w:ind w:firstLine="640"/>
        <w:outlineLvl w:val="1"/>
        <w:rPr>
          <w:rStyle w:val="18"/>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40"/>
      <w:bookmarkEnd w:id="41"/>
      <w:r>
        <w:rPr>
          <w:rStyle w:val="18"/>
          <w:rFonts w:ascii="黑体" w:hAnsi="黑体" w:eastAsia="黑体"/>
          <w:b w:val="0"/>
        </w:rPr>
        <w:tab/>
      </w:r>
    </w:p>
    <w:p>
      <w:pPr>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年一般公共预算财政拨款基本支出1690.66万元，其中：</w:t>
      </w:r>
    </w:p>
    <w:p>
      <w:pPr>
        <w:ind w:firstLine="645"/>
        <w:rPr>
          <w:rFonts w:ascii="仿宋" w:hAnsi="仿宋" w:eastAsia="仿宋"/>
          <w:color w:val="000000"/>
          <w:sz w:val="32"/>
          <w:szCs w:val="32"/>
        </w:rPr>
      </w:pPr>
      <w:r>
        <w:rPr>
          <w:rFonts w:hint="eastAsia" w:ascii="仿宋" w:hAnsi="仿宋" w:eastAsia="仿宋"/>
          <w:color w:val="000000"/>
          <w:sz w:val="32"/>
          <w:szCs w:val="32"/>
        </w:rPr>
        <w:t>人员经费1504.10万元，主要包括：基本工资、津贴补贴、奖金、绩效工资、机关事业单位基本养老保险缴费、其他社会保障缴费、其他工资福利支出、生活补助、医疗费、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公用经费186.56万元，主要包括：办公费、印刷费、手续费、邮电费、差旅费、维修（护）费、会议费、培训费、劳务费、工会经费、福利费、其他交通费、其他商品和服务支出等。</w:t>
      </w:r>
    </w:p>
    <w:p>
      <w:pPr>
        <w:ind w:firstLine="640"/>
        <w:outlineLvl w:val="1"/>
        <w:rPr>
          <w:rStyle w:val="18"/>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42"/>
      <w:bookmarkEnd w:id="43"/>
    </w:p>
    <w:p>
      <w:pPr>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年“三公”经费财政拨款支出决算为13.36万元，完成预算100</w:t>
      </w:r>
      <w:r>
        <w:rPr>
          <w:rFonts w:ascii="仿宋" w:hAnsi="仿宋" w:eastAsia="仿宋"/>
          <w:color w:val="000000"/>
          <w:sz w:val="32"/>
          <w:szCs w:val="32"/>
        </w:rPr>
        <w:t>%</w:t>
      </w:r>
      <w:r>
        <w:rPr>
          <w:rFonts w:hint="eastAsia" w:ascii="仿宋" w:hAnsi="仿宋" w:eastAsia="仿宋"/>
          <w:color w:val="000000"/>
          <w:sz w:val="32"/>
          <w:szCs w:val="32"/>
        </w:rPr>
        <w:t>。</w:t>
      </w:r>
    </w:p>
    <w:p>
      <w:pPr>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；公务用车购置及运行维护费支出决算6.95万元，占52.02</w:t>
      </w:r>
      <w:r>
        <w:rPr>
          <w:rFonts w:ascii="仿宋" w:hAnsi="仿宋" w:eastAsia="仿宋"/>
          <w:color w:val="000000"/>
          <w:sz w:val="32"/>
          <w:szCs w:val="32"/>
        </w:rPr>
        <w:t>%</w:t>
      </w:r>
      <w:r>
        <w:rPr>
          <w:rFonts w:hint="eastAsia" w:ascii="仿宋" w:hAnsi="仿宋" w:eastAsia="仿宋"/>
          <w:color w:val="000000"/>
          <w:sz w:val="32"/>
          <w:szCs w:val="32"/>
        </w:rPr>
        <w:t>；公务接待费支出决算6.41万元，占47.98</w:t>
      </w:r>
      <w:r>
        <w:rPr>
          <w:rFonts w:ascii="仿宋" w:hAnsi="仿宋" w:eastAsia="仿宋"/>
          <w:color w:val="000000"/>
          <w:sz w:val="32"/>
          <w:szCs w:val="32"/>
        </w:rPr>
        <w:t>%</w:t>
      </w:r>
      <w:r>
        <w:rPr>
          <w:rFonts w:hint="eastAsia" w:ascii="仿宋" w:hAnsi="仿宋" w:eastAsia="仿宋"/>
          <w:color w:val="000000"/>
          <w:sz w:val="32"/>
          <w:szCs w:val="32"/>
        </w:rPr>
        <w:t>。具体情况如下：</w:t>
      </w:r>
    </w:p>
    <w:p>
      <w:pPr>
        <w:ind w:firstLine="1766" w:firstLineChars="550"/>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“三公”经费财政拨款支出结构</w:t>
      </w:r>
    </w:p>
    <w:p>
      <w:pPr>
        <w:ind w:firstLine="1760" w:firstLineChars="55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2914650" cy="2133600"/>
            <wp:effectExtent l="19050" t="0" r="19050" b="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6.95万元</w:t>
      </w:r>
      <w:r>
        <w:rPr>
          <w:rFonts w:ascii="仿宋_GB2312" w:eastAsia="仿宋_GB2312"/>
          <w:color w:val="000000"/>
          <w:sz w:val="32"/>
          <w:szCs w:val="32"/>
        </w:rPr>
        <w:t>,</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年增加0.54万元，增长8.42</w:t>
      </w:r>
      <w:r>
        <w:rPr>
          <w:rFonts w:ascii="仿宋_GB2312" w:eastAsia="仿宋_GB2312"/>
          <w:color w:val="000000"/>
          <w:sz w:val="32"/>
          <w:szCs w:val="32"/>
        </w:rPr>
        <w:t>%</w:t>
      </w:r>
      <w:r>
        <w:rPr>
          <w:rFonts w:hint="eastAsia" w:ascii="仿宋_GB2312" w:eastAsia="仿宋_GB2312"/>
          <w:color w:val="000000"/>
          <w:sz w:val="32"/>
          <w:szCs w:val="32"/>
        </w:rPr>
        <w:t>。主要原因是公务用车使用时间较长，维修费增加。</w:t>
      </w:r>
    </w:p>
    <w:p>
      <w:pPr>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月底，单位共有公务用车1辆，其中：轿车1辆、越野车0辆、载客汽车0辆。</w:t>
      </w:r>
    </w:p>
    <w:p>
      <w:pPr>
        <w:ind w:firstLine="640"/>
        <w:rPr>
          <w:rFonts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6.95万元。主要用于</w:t>
      </w:r>
      <w:r>
        <w:rPr>
          <w:rFonts w:ascii="仿宋" w:hAnsi="仿宋" w:eastAsia="仿宋"/>
          <w:sz w:val="32"/>
          <w:szCs w:val="32"/>
        </w:rPr>
        <w:t>保障</w:t>
      </w:r>
      <w:r>
        <w:rPr>
          <w:rFonts w:hint="eastAsia" w:ascii="仿宋" w:hAnsi="仿宋" w:eastAsia="仿宋"/>
          <w:sz w:val="32"/>
          <w:szCs w:val="32"/>
        </w:rPr>
        <w:t>铁路建设前期工作、绿色经济发展工作、重大项目管理、价格监督检查、开行贷款、天然气产业发展推进、重大项目稽察、成本监审、价格监测、涉案涉纪价格鉴定、规划工作、推进区域经济</w:t>
      </w:r>
      <w:r>
        <w:rPr>
          <w:rFonts w:hint="eastAsia" w:ascii="仿宋" w:hAnsi="仿宋" w:eastAsia="仿宋"/>
          <w:color w:val="000000"/>
          <w:sz w:val="32"/>
          <w:szCs w:val="32"/>
        </w:rPr>
        <w:t>等所需的公务用车燃料费、维修费、过路过桥费、保险费等支出。</w:t>
      </w:r>
    </w:p>
    <w:p>
      <w:pPr>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6.41万元，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年减少11.64万元，下降64.49</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严格执行中央八项规定</w:t>
      </w:r>
      <w:bookmarkStart w:id="74" w:name="_GoBack"/>
      <w:bookmarkEnd w:id="74"/>
      <w:r>
        <w:rPr>
          <w:rFonts w:hint="eastAsia" w:ascii="仿宋" w:hAnsi="仿宋" w:eastAsia="仿宋"/>
          <w:color w:val="000000"/>
          <w:sz w:val="32"/>
          <w:szCs w:val="32"/>
        </w:rPr>
        <w:t>和省、市“十项规定”，厉行节约反对浪费，公务接待费有所减少</w:t>
      </w:r>
      <w:r>
        <w:rPr>
          <w:rFonts w:hint="eastAsia" w:ascii="仿宋_GB2312" w:eastAsia="仿宋_GB2312"/>
          <w:color w:val="000000"/>
          <w:sz w:val="32"/>
          <w:szCs w:val="32"/>
        </w:rPr>
        <w:t>。</w:t>
      </w:r>
    </w:p>
    <w:p>
      <w:pPr>
        <w:ind w:firstLine="640" w:firstLineChars="200"/>
        <w:rPr>
          <w:rFonts w:ascii="仿宋" w:hAnsi="仿宋" w:eastAsia="仿宋"/>
          <w:sz w:val="32"/>
          <w:szCs w:val="32"/>
        </w:rPr>
      </w:pPr>
      <w:r>
        <w:rPr>
          <w:rFonts w:hint="eastAsia" w:ascii="仿宋_GB2312" w:eastAsia="仿宋_GB2312"/>
          <w:color w:val="000000"/>
          <w:sz w:val="32"/>
          <w:szCs w:val="32"/>
        </w:rPr>
        <w:t>主要用于执行公务、开展业务活动开支的交通费、住宿费、用餐费等。国内公务接待80批次，642人次（不包括陪同人员），共计支出6.41万元，具体内容包括：</w:t>
      </w:r>
      <w:r>
        <w:rPr>
          <w:rFonts w:hint="eastAsia" w:ascii="仿宋" w:hAnsi="仿宋" w:eastAsia="仿宋"/>
          <w:color w:val="000000"/>
          <w:sz w:val="32"/>
          <w:szCs w:val="32"/>
        </w:rPr>
        <w:t>开行贷款0.3万元，铁路建设1.2万元，</w:t>
      </w:r>
      <w:r>
        <w:rPr>
          <w:rFonts w:hint="eastAsia" w:ascii="仿宋" w:hAnsi="仿宋" w:eastAsia="仿宋"/>
          <w:sz w:val="32"/>
          <w:szCs w:val="32"/>
        </w:rPr>
        <w:t>重点项目管理0.9万元，绿色经济发展0.65万元，天然气产业发展推进0.5万元</w:t>
      </w:r>
      <w:r>
        <w:rPr>
          <w:rFonts w:hint="eastAsia" w:ascii="仿宋" w:hAnsi="仿宋" w:eastAsia="仿宋"/>
          <w:color w:val="000000"/>
          <w:sz w:val="32"/>
          <w:szCs w:val="32"/>
        </w:rPr>
        <w:t>，外市州到市交流学习、调研1.31万元，上级部门到我市督导、检查、调研工作1.55万元。</w:t>
      </w:r>
      <w:r>
        <w:rPr>
          <w:rFonts w:hint="eastAsia" w:ascii="仿宋" w:hAnsi="仿宋" w:eastAsia="仿宋"/>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p>
    <w:p>
      <w:pPr>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77218"/>
      <w:bookmarkStart w:id="47" w:name="_Toc15396610"/>
    </w:p>
    <w:p>
      <w:pPr>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6"/>
      <w:bookmarkEnd w:id="47"/>
    </w:p>
    <w:p>
      <w:pPr>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年政府性基金预算拨款支出0万元。</w:t>
      </w:r>
    </w:p>
    <w:p>
      <w:pPr>
        <w:numPr>
          <w:ilvl w:val="0"/>
          <w:numId w:val="2"/>
        </w:numPr>
        <w:ind w:firstLine="640"/>
        <w:outlineLvl w:val="1"/>
        <w:rPr>
          <w:rStyle w:val="18"/>
          <w:rFonts w:ascii="黑体" w:hAnsi="黑体" w:eastAsia="黑体"/>
          <w:b w:val="0"/>
        </w:rPr>
      </w:pPr>
      <w:bookmarkStart w:id="48" w:name="_Toc15377219"/>
      <w:bookmarkStart w:id="49" w:name="_Toc15396611"/>
      <w:r>
        <w:rPr>
          <w:rStyle w:val="18"/>
          <w:rFonts w:hint="eastAsia" w:ascii="黑体" w:hAnsi="黑体" w:eastAsia="黑体"/>
          <w:b w:val="0"/>
        </w:rPr>
        <w:t>国有资本经营预算支出决算情况说明</w:t>
      </w:r>
      <w:bookmarkEnd w:id="48"/>
      <w:bookmarkEnd w:id="49"/>
    </w:p>
    <w:p>
      <w:pPr>
        <w:ind w:firstLine="64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年国有资本经营预算拨款支出0万元。</w:t>
      </w:r>
    </w:p>
    <w:p>
      <w:pPr>
        <w:pStyle w:val="27"/>
        <w:numPr>
          <w:ilvl w:val="0"/>
          <w:numId w:val="3"/>
        </w:numPr>
        <w:ind w:firstLineChars="0"/>
        <w:rPr>
          <w:rStyle w:val="18"/>
          <w:rFonts w:ascii="黑体" w:hAnsi="黑体" w:eastAsia="黑体"/>
          <w:b w:val="0"/>
        </w:rPr>
      </w:pPr>
      <w:r>
        <w:rPr>
          <w:rStyle w:val="18"/>
          <w:rFonts w:hint="eastAsia" w:ascii="黑体" w:hAnsi="黑体" w:eastAsia="黑体"/>
          <w:b w:val="0"/>
        </w:rPr>
        <w:t>预算绩效情况说明</w:t>
      </w:r>
    </w:p>
    <w:p>
      <w:pPr>
        <w:numPr>
          <w:ilvl w:val="0"/>
          <w:numId w:val="4"/>
        </w:numPr>
        <w:ind w:firstLine="64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1个项目开展了预算事前绩效评估，对1个项目编制了绩效目标，预算执行过程中，选取1个项目开展绩效监控，年终执行完毕后，对1个项目开展了绩效目标完成情况梳理填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hint="eastAsia" w:ascii="仿宋" w:hAnsi="仿宋" w:eastAsia="仿宋"/>
          <w:sz w:val="32"/>
          <w:szCs w:val="32"/>
        </w:rPr>
        <w:t>预算支出按要求在预算额度内，统筹安排，合理开支，保障日常运行，突出重点工作，机关各项工作有序开展，自评得分98.15分。</w:t>
      </w:r>
      <w:r>
        <w:rPr>
          <w:rFonts w:hint="eastAsia" w:ascii="仿宋_GB2312" w:hAnsi="仿宋_GB2312" w:eastAsia="仿宋_GB2312" w:cs="仿宋_GB2312"/>
          <w:sz w:val="32"/>
          <w:szCs w:val="32"/>
        </w:rPr>
        <w:t>本部门还自行组织了1个项目绩效评价，从评价情况来看，基本完成年初设定的绩效目标。</w:t>
      </w:r>
    </w:p>
    <w:p>
      <w:pPr>
        <w:numPr>
          <w:ilvl w:val="0"/>
          <w:numId w:val="4"/>
        </w:numPr>
        <w:ind w:firstLine="642"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年度部门决算中反映“派驻纪检组专项经费（办案经费）”1个项目绩效目标实际完成情况。</w:t>
      </w:r>
    </w:p>
    <w:p>
      <w:pPr>
        <w:tabs>
          <w:tab w:val="left" w:pos="312"/>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派驻纪检组专项经费（办案经费）项目绩效目标完成情况综述。项目全年预算数2.22万元，执行数为2.22万元，完成预算的100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。通过项目实施，保障了既定目标圆满完成，全年完成线索处置2件，立案1件，通过项目实施，进一步正风肃纪，营造了廉政勤氛围政，进一步建立风清气正，廉洁从政良好风气。</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rPr>
          <w:trHeight w:val="1034" w:hRule="atLeast"/>
        </w:trPr>
        <w:tc>
          <w:tcPr>
            <w:tcW w:w="9960" w:type="dxa"/>
            <w:gridSpan w:val="6"/>
            <w:tcMar>
              <w:top w:w="15" w:type="dxa"/>
              <w:left w:w="15" w:type="dxa"/>
              <w:bottom w:w="0" w:type="dxa"/>
              <w:right w:w="15" w:type="dxa"/>
            </w:tcMar>
            <w:vAlign w:val="center"/>
          </w:tcPr>
          <w:p>
            <w:pPr>
              <w:pStyle w:val="27"/>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kern w:val="0"/>
                <w:szCs w:val="21"/>
              </w:rPr>
              <w:t>派驻纪检组专项经费</w:t>
            </w:r>
            <w:r>
              <w:rPr>
                <w:rFonts w:hint="eastAsia" w:ascii="宋体" w:cs="宋体"/>
                <w:color w:val="000000"/>
                <w:sz w:val="24"/>
              </w:rPr>
              <w:t>（办案经费）</w:t>
            </w:r>
          </w:p>
        </w:tc>
      </w:tr>
      <w:tr>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kern w:val="0"/>
                <w:szCs w:val="21"/>
              </w:rPr>
              <w:t>遂宁市发展和改革委员会</w:t>
            </w:r>
            <w:r>
              <w:rPr>
                <w:kern w:val="0"/>
                <w:szCs w:val="21"/>
              </w:rPr>
              <w:t>　</w:t>
            </w:r>
          </w:p>
        </w:tc>
      </w:tr>
      <w:tr>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r>
      <w:tr>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2.22万元</w:t>
            </w:r>
          </w:p>
        </w:tc>
      </w:tr>
      <w:tr>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ascii="宋体" w:cs="宋体"/>
                <w:color w:val="000000"/>
                <w:sz w:val="24"/>
              </w:rPr>
              <w:t>0</w:t>
            </w:r>
          </w:p>
        </w:tc>
      </w:tr>
      <w:tr>
        <w:trPr>
          <w:trHeight w:val="82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kern w:val="0"/>
                <w:szCs w:val="21"/>
              </w:rPr>
              <w:t>开展监督执纪和调研活动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完成线索处置2件，立案1件，通过项目实施，进一步正风肃纪，营造了廉政勤氛围政，进一步建立风清气正，廉洁从政良好风气。</w:t>
            </w:r>
          </w:p>
        </w:tc>
      </w:tr>
      <w:tr>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线索处置数量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2件</w:t>
            </w: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办案天数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120天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80天</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省内外系统综合监督学习调研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2次</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问题线索处理率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立案案件办结率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r>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案件办理时限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60日内</w:t>
            </w: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进一步正风肃纪，营造廉政勤政氛围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长效</w:t>
            </w:r>
          </w:p>
        </w:tc>
      </w:tr>
      <w:tr>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提高监督执纪问责能力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提升</w:t>
            </w:r>
          </w:p>
        </w:tc>
      </w:tr>
      <w:tr>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群众满意率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100%</w:t>
            </w:r>
          </w:p>
        </w:tc>
      </w:tr>
    </w:tbl>
    <w:p>
      <w:pPr>
        <w:rPr>
          <w:rFonts w:ascii="仿宋_GB2312" w:hAnsi="仿宋_GB2312" w:eastAsia="仿宋_GB2312" w:cs="仿宋_GB2312"/>
          <w:sz w:val="32"/>
          <w:szCs w:val="32"/>
        </w:rPr>
      </w:pPr>
    </w:p>
    <w:p>
      <w:pPr>
        <w:numPr>
          <w:ilvl w:val="0"/>
          <w:numId w:val="4"/>
        </w:numPr>
        <w:ind w:firstLine="64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年部门整体支出绩效评价情况开展自评，《遂宁市发展和改革委员会</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年部门整体支出绩效评价报告》见附件。</w:t>
      </w:r>
    </w:p>
    <w:p>
      <w:pPr>
        <w:ind w:firstLine="800" w:firstLineChars="250"/>
        <w:outlineLvl w:val="1"/>
        <w:rPr>
          <w:rStyle w:val="1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18"/>
          <w:rFonts w:hint="eastAsia" w:ascii="黑体" w:hAnsi="黑体" w:eastAsia="黑体"/>
        </w:rPr>
        <w:t>一、</w:t>
      </w:r>
      <w:r>
        <w:rPr>
          <w:rStyle w:val="18"/>
          <w:rFonts w:hint="eastAsia" w:ascii="黑体" w:hAnsi="黑体" w:eastAsia="黑体"/>
          <w:b w:val="0"/>
        </w:rPr>
        <w:t>其他重要事项的情况说明</w:t>
      </w:r>
      <w:bookmarkEnd w:id="50"/>
      <w:bookmarkEnd w:id="51"/>
    </w:p>
    <w:p>
      <w:pPr>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ind w:firstLine="640" w:firstLineChars="200"/>
        <w:rPr>
          <w:rFonts w:ascii="仿宋" w:hAnsi="仿宋" w:eastAsia="仿宋"/>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年，市发展改革委机关运行经费支出186.56万元，比</w:t>
      </w:r>
      <w:r>
        <w:rPr>
          <w:rFonts w:ascii="仿宋_GB2312" w:eastAsia="仿宋_GB2312"/>
          <w:color w:val="000000"/>
          <w:sz w:val="32"/>
          <w:szCs w:val="32"/>
        </w:rPr>
        <w:t>2017</w:t>
      </w:r>
      <w:r>
        <w:rPr>
          <w:rFonts w:hint="eastAsia" w:ascii="仿宋_GB2312" w:eastAsia="仿宋_GB2312"/>
          <w:color w:val="000000"/>
          <w:sz w:val="32"/>
          <w:szCs w:val="32"/>
        </w:rPr>
        <w:t>年减少25.73万元，下降12.12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333333"/>
          <w:sz w:val="32"/>
          <w:szCs w:val="32"/>
        </w:rPr>
        <w:t>单位厉行节约取得实效，日常公用支出减少。</w:t>
      </w:r>
    </w:p>
    <w:p>
      <w:pPr>
        <w:autoSpaceDE w:val="0"/>
        <w:autoSpaceDN w:val="0"/>
        <w:adjustRightInd w:val="0"/>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ind w:firstLine="640" w:firstLineChars="200"/>
        <w:rPr>
          <w:rFonts w:ascii="仿宋_GB2312" w:eastAsia="仿宋_GB2312"/>
          <w:color w:val="000000"/>
          <w:sz w:val="32"/>
          <w:szCs w:val="32"/>
        </w:rPr>
      </w:pPr>
      <w:r>
        <w:rPr>
          <w:rFonts w:ascii="仿宋_GB2312" w:eastAsia="仿宋_GB2312"/>
          <w:color w:val="000000"/>
          <w:sz w:val="32"/>
          <w:szCs w:val="32"/>
        </w:rPr>
        <w:t>2018</w:t>
      </w:r>
      <w:r>
        <w:rPr>
          <w:rFonts w:hint="eastAsia" w:ascii="仿宋_GB2312" w:eastAsia="仿宋_GB2312"/>
          <w:color w:val="000000"/>
          <w:sz w:val="32"/>
          <w:szCs w:val="32"/>
        </w:rPr>
        <w:t>年，市发展改革委政府采购支出总额12.23万元，其中：政府采购货物支出12.23万元、政府采购工程支出0万元、政府采购服务支出0万元。主要用于</w:t>
      </w:r>
      <w:r>
        <w:rPr>
          <w:rFonts w:hint="eastAsia" w:ascii="仿宋" w:hAnsi="仿宋" w:eastAsia="仿宋"/>
          <w:color w:val="000000"/>
          <w:sz w:val="32"/>
          <w:szCs w:val="32"/>
        </w:rPr>
        <w:t>购置电脑、打印机等办公设备</w:t>
      </w:r>
      <w:r>
        <w:rPr>
          <w:rFonts w:hint="eastAsia" w:ascii="仿宋_GB2312" w:eastAsia="仿宋_GB2312"/>
          <w:color w:val="000000"/>
          <w:sz w:val="32"/>
          <w:szCs w:val="32"/>
        </w:rPr>
        <w:t>。授予中小企业合同金额0万元，占政府采购支出总额的0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日，市发展改革委共有车辆1辆，其中：部级领导干部用车0辆、一般公务用车1辆、一般执法执勤用车0辆、特种专业技术用车0辆、其他用车0辆，单价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autoSpaceDE w:val="0"/>
        <w:autoSpaceDN w:val="0"/>
        <w:adjustRightInd w:val="0"/>
        <w:ind w:firstLine="640" w:firstLineChars="200"/>
        <w:jc w:val="left"/>
        <w:rPr>
          <w:rFonts w:ascii="仿宋_GB2312" w:eastAsia="仿宋_GB2312"/>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widowControl/>
        <w:jc w:val="left"/>
        <w:rPr>
          <w:rFonts w:ascii="仿宋_GB2312" w:eastAsia="仿宋_GB2312"/>
          <w:b/>
          <w:color w:val="000000"/>
          <w:sz w:val="32"/>
          <w:szCs w:val="32"/>
        </w:rPr>
      </w:pPr>
    </w:p>
    <w:p>
      <w:pPr>
        <w:numPr>
          <w:ilvl w:val="0"/>
          <w:numId w:val="5"/>
        </w:numPr>
        <w:ind w:firstLine="662" w:firstLineChars="150"/>
        <w:jc w:val="center"/>
        <w:outlineLvl w:val="0"/>
        <w:rPr>
          <w:rStyle w:val="17"/>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17"/>
          <w:rFonts w:hint="eastAsia" w:ascii="黑体" w:hAnsi="黑体" w:eastAsia="黑体"/>
          <w:b w:val="0"/>
        </w:rPr>
        <w:t>词解释</w:t>
      </w:r>
      <w:bookmarkEnd w:id="55"/>
      <w:bookmarkEnd w:id="56"/>
    </w:p>
    <w:p>
      <w:pPr>
        <w:jc w:val="left"/>
        <w:rPr>
          <w:rFonts w:ascii="宋体"/>
          <w:b/>
          <w:color w:val="000000"/>
          <w:sz w:val="44"/>
          <w:szCs w:val="44"/>
        </w:rPr>
      </w:pPr>
    </w:p>
    <w:p>
      <w:pPr>
        <w:pStyle w:val="26"/>
        <w:spacing w:before="93"/>
        <w:ind w:firstLine="640" w:firstLineChars="200"/>
        <w:rPr>
          <w:rFonts w:hAnsi="仿宋"/>
          <w:sz w:val="32"/>
          <w:szCs w:val="32"/>
        </w:rPr>
      </w:pPr>
      <w:r>
        <w:rPr>
          <w:rFonts w:hint="eastAsia" w:hAnsi="仿宋"/>
          <w:sz w:val="32"/>
          <w:szCs w:val="32"/>
        </w:rPr>
        <w:t>1.财政拨款收入：指单位从同级财政部门取得的财政预算资金。</w:t>
      </w:r>
    </w:p>
    <w:p>
      <w:pPr>
        <w:pStyle w:val="26"/>
        <w:ind w:firstLine="640" w:firstLineChars="200"/>
        <w:rPr>
          <w:rFonts w:hAnsi="仿宋"/>
          <w:sz w:val="32"/>
          <w:szCs w:val="32"/>
        </w:rPr>
      </w:pPr>
      <w:r>
        <w:rPr>
          <w:rFonts w:hint="eastAsia" w:hAnsi="仿宋"/>
          <w:sz w:val="32"/>
          <w:szCs w:val="32"/>
        </w:rPr>
        <w:t xml:space="preserve">2.其他收入：指单位取得的除上述收入以外的各项收入。主要是…（收入类型）等。 </w:t>
      </w:r>
    </w:p>
    <w:p>
      <w:pPr>
        <w:pStyle w:val="26"/>
        <w:ind w:firstLine="640" w:firstLineChars="200"/>
        <w:rPr>
          <w:rFonts w:hAnsi="仿宋"/>
          <w:sz w:val="32"/>
          <w:szCs w:val="32"/>
        </w:rPr>
      </w:pPr>
      <w:r>
        <w:rPr>
          <w:rFonts w:hint="eastAsia" w:hAnsi="仿宋"/>
          <w:sz w:val="32"/>
          <w:szCs w:val="32"/>
        </w:rPr>
        <w:t xml:space="preserve">3.年初结转和结余：指以前年度尚未完成、结转到本年按有关规定继续使用的资金。 </w:t>
      </w:r>
    </w:p>
    <w:p>
      <w:pPr>
        <w:pStyle w:val="26"/>
        <w:ind w:firstLine="640" w:firstLineChars="200"/>
        <w:rPr>
          <w:rFonts w:hAnsi="仿宋"/>
          <w:sz w:val="32"/>
          <w:szCs w:val="32"/>
        </w:rPr>
      </w:pPr>
      <w:r>
        <w:rPr>
          <w:rFonts w:hint="eastAsia" w:hAnsi="仿宋"/>
          <w:sz w:val="32"/>
          <w:szCs w:val="32"/>
        </w:rPr>
        <w:t>4.年末结转和结余：指单位按有关规定结转到下年或以后年度继续使用的资金。</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5.一般公共服务（类）发展与改革事务（款）行政运行（项）: 指反映行政单位（包括实行公务员管理的事业单位）的基本支出。</w:t>
      </w:r>
    </w:p>
    <w:p>
      <w:pPr>
        <w:ind w:firstLine="640" w:firstLineChars="200"/>
        <w:rPr>
          <w:rFonts w:ascii="仿宋" w:hAnsi="仿宋" w:eastAsia="仿宋"/>
          <w:color w:val="000000" w:themeColor="text1"/>
          <w:sz w:val="32"/>
          <w:szCs w:val="32"/>
        </w:rPr>
      </w:pPr>
      <w:r>
        <w:rPr>
          <w:rStyle w:val="14"/>
          <w:rFonts w:hint="eastAsia" w:ascii="仿宋" w:hAnsi="仿宋" w:eastAsia="仿宋"/>
          <w:b w:val="0"/>
          <w:color w:val="000000" w:themeColor="text1"/>
          <w:sz w:val="32"/>
          <w:szCs w:val="32"/>
        </w:rPr>
        <w:t>6.一般公共服务（类）发展与改革事务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一般行政管理事务</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指反映行政单位</w:t>
      </w:r>
      <w:r>
        <w:rPr>
          <w:rStyle w:val="14"/>
          <w:rFonts w:hint="eastAsia" w:ascii="仿宋" w:hAnsi="仿宋" w:eastAsia="仿宋"/>
          <w:b w:val="0"/>
          <w:color w:val="000000" w:themeColor="text1"/>
          <w:sz w:val="32"/>
          <w:szCs w:val="32"/>
        </w:rPr>
        <w:t>（包括实行公务员管理的事业单位）未单独设置项级科目的其他项目支出</w:t>
      </w:r>
      <w:r>
        <w:rPr>
          <w:rFonts w:hint="eastAsia"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7.</w:t>
      </w:r>
      <w:r>
        <w:rPr>
          <w:rStyle w:val="14"/>
          <w:rFonts w:hint="eastAsia" w:ascii="仿宋" w:hAnsi="仿宋" w:eastAsia="仿宋"/>
          <w:b w:val="0"/>
          <w:color w:val="000000" w:themeColor="text1"/>
          <w:sz w:val="32"/>
          <w:szCs w:val="32"/>
        </w:rPr>
        <w:t>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物价管理</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指反映物价管理方面的支出。</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w:t>
      </w:r>
      <w:r>
        <w:rPr>
          <w:rStyle w:val="14"/>
          <w:rFonts w:hint="eastAsia" w:ascii="仿宋" w:hAnsi="仿宋" w:eastAsia="仿宋"/>
          <w:b w:val="0"/>
          <w:color w:val="000000" w:themeColor="text1"/>
          <w:sz w:val="32"/>
          <w:szCs w:val="32"/>
        </w:rPr>
        <w:t>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事业运行</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hint="eastAsia" w:ascii="仿宋" w:hAnsi="仿宋" w:eastAsia="仿宋"/>
          <w:color w:val="000000" w:themeColor="text1"/>
          <w:sz w:val="32"/>
          <w:szCs w:val="32"/>
        </w:rPr>
        <w:t>指反映事业单位的基本支出，不包括行政单位</w:t>
      </w:r>
      <w:r>
        <w:rPr>
          <w:rStyle w:val="14"/>
          <w:rFonts w:hint="eastAsia" w:ascii="仿宋" w:hAnsi="仿宋" w:eastAsia="仿宋"/>
          <w:b w:val="0"/>
          <w:color w:val="000000" w:themeColor="text1"/>
          <w:sz w:val="32"/>
          <w:szCs w:val="32"/>
        </w:rPr>
        <w:t>（包括实行公务员管理的事业单位）后勤服务中心、医务室等附属事业单位</w:t>
      </w:r>
      <w:r>
        <w:rPr>
          <w:rFonts w:hint="eastAsia" w:ascii="仿宋" w:hAnsi="仿宋" w:eastAsia="仿宋"/>
          <w:color w:val="000000" w:themeColor="text1"/>
          <w:sz w:val="32"/>
          <w:szCs w:val="32"/>
        </w:rPr>
        <w:t>。</w:t>
      </w:r>
    </w:p>
    <w:p>
      <w:pPr>
        <w:ind w:firstLine="640" w:firstLineChars="200"/>
        <w:rPr>
          <w:rFonts w:eastAsia="仿宋"/>
          <w:color w:val="000000"/>
          <w:sz w:val="32"/>
          <w:shd w:val="clear" w:color="auto" w:fill="FFFFFF"/>
        </w:rPr>
      </w:pPr>
      <w:r>
        <w:rPr>
          <w:rFonts w:hint="eastAsia" w:ascii="仿宋" w:hAnsi="仿宋" w:eastAsia="仿宋"/>
          <w:color w:val="000000" w:themeColor="text1"/>
          <w:sz w:val="32"/>
          <w:szCs w:val="32"/>
        </w:rPr>
        <w:t>9.</w:t>
      </w:r>
      <w:r>
        <w:rPr>
          <w:rStyle w:val="14"/>
          <w:rFonts w:hint="eastAsia" w:ascii="仿宋" w:hAnsi="仿宋" w:eastAsia="仿宋"/>
          <w:b w:val="0"/>
          <w:color w:val="000000" w:themeColor="text1"/>
          <w:sz w:val="32"/>
          <w:szCs w:val="32"/>
        </w:rPr>
        <w:t>一般公共服务（类）发展与改革事务</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其他发展与改革事务支出</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w:t>
      </w:r>
      <w:r>
        <w:rPr>
          <w:rFonts w:eastAsia="仿宋"/>
          <w:color w:val="000000"/>
          <w:sz w:val="32"/>
          <w:shd w:val="clear" w:color="auto" w:fill="FFFFFF"/>
        </w:rPr>
        <w:t>指反映除行政运行、一般行政管理事务、机关服务、社会事业发展规划、经济体制改革研究、物价管理、事业运行以外的其他发展与改革事务支出。</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10.社会保障和就业（类）行政事业单位离退休（款）未归口管理的行政单位离退休（项）: 指反映未实行归口管理的行政单位（包括实行公务员管理的事业单位）开支的离退休支出。</w:t>
      </w:r>
    </w:p>
    <w:p>
      <w:pPr>
        <w:ind w:firstLine="640" w:firstLineChars="200"/>
        <w:rPr>
          <w:rFonts w:ascii="仿宋" w:hAnsi="仿宋" w:eastAsia="仿宋"/>
          <w:color w:val="000000" w:themeColor="text1"/>
          <w:sz w:val="32"/>
          <w:szCs w:val="32"/>
        </w:rPr>
      </w:pPr>
      <w:r>
        <w:rPr>
          <w:rStyle w:val="14"/>
          <w:rFonts w:hint="eastAsia" w:ascii="仿宋" w:hAnsi="仿宋" w:eastAsia="仿宋"/>
          <w:b w:val="0"/>
          <w:color w:val="000000" w:themeColor="text1"/>
          <w:sz w:val="32"/>
          <w:szCs w:val="32"/>
        </w:rPr>
        <w:t>11.社会保障和就业（类）行政事业单位离退休（款）机关事业单位基本养老保险缴费</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：指反映机关事业单位实施养老保险制度由单位缴纳的基本养老保险费支出</w:t>
      </w:r>
      <w:r>
        <w:rPr>
          <w:rFonts w:ascii="仿宋" w:hAnsi="仿宋" w:eastAsia="仿宋"/>
          <w:color w:val="000000" w:themeColor="text1"/>
          <w:sz w:val="32"/>
          <w:szCs w:val="32"/>
        </w:rPr>
        <w:t>。</w:t>
      </w:r>
    </w:p>
    <w:p>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12.</w:t>
      </w:r>
      <w:r>
        <w:rPr>
          <w:rStyle w:val="14"/>
          <w:rFonts w:hint="eastAsia" w:ascii="仿宋" w:hAnsi="仿宋" w:eastAsia="仿宋"/>
          <w:b w:val="0"/>
          <w:color w:val="000000" w:themeColor="text1"/>
          <w:sz w:val="32"/>
          <w:szCs w:val="32"/>
        </w:rPr>
        <w:t>社会保障和就业（类）抚恤（款）死亡抚恤</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：指反映按规定用于烈士和牺牲、病故人员家属的一次性和定期抚恤金以及丧葬补助费。</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13.医疗卫生与计划生育（类）行政事业单位医疗（款）行政单位医疗（项）: 指反映财政部门集中安排的行政单位基本医疗保险缴费经费，未参加医疗保险的行政单位的公费医疗经费，按国家规定享受离休人员、红军老战士待遇人员的医疗经费。</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14. 医疗卫生与计划生育（类）行政事业单位医疗</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事业单位医疗</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：指反映财政部门集中安排的事业单位基本医疗保险缴费经费，未参加医疗保险的事业单位的公费医疗经费，按国家规定享受离休人员待遇的医疗经费。</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15.农林水（类）水利（款）其他水利（项）：指反映除01-52项目以外其他用于农业方面的支出。</w:t>
      </w:r>
    </w:p>
    <w:p>
      <w:pPr>
        <w:ind w:firstLine="640" w:firstLineChars="200"/>
        <w:rPr>
          <w:rStyle w:val="14"/>
          <w:rFonts w:ascii="仿宋" w:hAnsi="仿宋" w:eastAsia="仿宋"/>
          <w:b w:val="0"/>
          <w:color w:val="000000" w:themeColor="text1"/>
          <w:sz w:val="32"/>
          <w:szCs w:val="32"/>
        </w:rPr>
      </w:pPr>
      <w:r>
        <w:rPr>
          <w:rStyle w:val="14"/>
          <w:rFonts w:hint="eastAsia" w:ascii="仿宋" w:hAnsi="仿宋" w:eastAsia="仿宋"/>
          <w:b w:val="0"/>
          <w:color w:val="000000" w:themeColor="text1"/>
          <w:sz w:val="32"/>
          <w:szCs w:val="32"/>
        </w:rPr>
        <w:t>16、交通运输支出（类）铁路运输（款）其他铁路运输（项）：指反映除01-08项目以外其他用于铁路运输方面的支出。</w:t>
      </w:r>
    </w:p>
    <w:p>
      <w:pPr>
        <w:ind w:firstLine="640" w:firstLineChars="200"/>
        <w:rPr>
          <w:rFonts w:ascii="仿宋" w:hAnsi="仿宋" w:eastAsia="仿宋"/>
          <w:color w:val="000000"/>
          <w:sz w:val="32"/>
          <w:szCs w:val="32"/>
        </w:rPr>
      </w:pPr>
      <w:r>
        <w:rPr>
          <w:rStyle w:val="14"/>
          <w:rFonts w:hint="eastAsia" w:ascii="仿宋" w:hAnsi="仿宋" w:eastAsia="仿宋"/>
          <w:b w:val="0"/>
          <w:color w:val="000000" w:themeColor="text1"/>
          <w:sz w:val="32"/>
          <w:szCs w:val="32"/>
        </w:rPr>
        <w:t>17.住房保障</w:t>
      </w:r>
      <w:r>
        <w:rPr>
          <w:rStyle w:val="14"/>
          <w:rFonts w:ascii="仿宋" w:hAnsi="仿宋" w:eastAsia="仿宋"/>
          <w:b w:val="0"/>
          <w:color w:val="000000" w:themeColor="text1"/>
          <w:sz w:val="32"/>
          <w:szCs w:val="32"/>
        </w:rPr>
        <w:t>（类）</w:t>
      </w:r>
      <w:r>
        <w:rPr>
          <w:rStyle w:val="14"/>
          <w:rFonts w:hint="eastAsia" w:ascii="仿宋" w:hAnsi="仿宋" w:eastAsia="仿宋"/>
          <w:b w:val="0"/>
          <w:color w:val="000000" w:themeColor="text1"/>
          <w:sz w:val="32"/>
          <w:szCs w:val="32"/>
        </w:rPr>
        <w:t>住房改革</w:t>
      </w:r>
      <w:r>
        <w:rPr>
          <w:rStyle w:val="14"/>
          <w:rFonts w:ascii="仿宋" w:hAnsi="仿宋" w:eastAsia="仿宋"/>
          <w:b w:val="0"/>
          <w:color w:val="000000" w:themeColor="text1"/>
          <w:sz w:val="32"/>
          <w:szCs w:val="32"/>
        </w:rPr>
        <w:t>（款）</w:t>
      </w:r>
      <w:r>
        <w:rPr>
          <w:rStyle w:val="14"/>
          <w:rFonts w:hint="eastAsia" w:ascii="仿宋" w:hAnsi="仿宋" w:eastAsia="仿宋"/>
          <w:b w:val="0"/>
          <w:color w:val="000000" w:themeColor="text1"/>
          <w:sz w:val="32"/>
          <w:szCs w:val="32"/>
        </w:rPr>
        <w:t>住房公积金</w:t>
      </w:r>
      <w:r>
        <w:rPr>
          <w:rStyle w:val="14"/>
          <w:rFonts w:ascii="仿宋" w:hAnsi="仿宋" w:eastAsia="仿宋"/>
          <w:b w:val="0"/>
          <w:color w:val="000000" w:themeColor="text1"/>
          <w:sz w:val="32"/>
          <w:szCs w:val="32"/>
        </w:rPr>
        <w:t>（项）</w:t>
      </w:r>
      <w:r>
        <w:rPr>
          <w:rStyle w:val="14"/>
          <w:rFonts w:hint="eastAsia" w:ascii="仿宋" w:hAnsi="仿宋" w:eastAsia="仿宋"/>
          <w:b w:val="0"/>
          <w:color w:val="000000" w:themeColor="text1"/>
          <w:sz w:val="32"/>
          <w:szCs w:val="32"/>
        </w:rPr>
        <w:t>：指反映行政事业单位按人力资源和社会保障部、财政部规定的基本工资和津贴补贴以及规定比例为职工缴纳的住房公积金。</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18.基本支出：指为保障机构正常运转、完成日常工作任务而发生的人员支出和公用支出。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19.项目支出：指在基本支出之外为完成特定行政任务和事业发展目标所发生的支出。 </w:t>
      </w:r>
    </w:p>
    <w:p>
      <w:pPr>
        <w:pStyle w:val="26"/>
        <w:ind w:firstLine="640" w:firstLineChars="200"/>
        <w:rPr>
          <w:rFonts w:hAnsi="仿宋"/>
          <w:sz w:val="32"/>
          <w:szCs w:val="32"/>
        </w:rPr>
      </w:pPr>
      <w:r>
        <w:rPr>
          <w:rFonts w:hint="eastAsia" w:hAnsi="仿宋"/>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ind w:firstLine="640" w:firstLineChars="200"/>
        <w:rPr>
          <w:rFonts w:hAnsi="仿宋"/>
          <w:sz w:val="32"/>
          <w:szCs w:val="32"/>
        </w:rPr>
      </w:pPr>
      <w:r>
        <w:rPr>
          <w:rFonts w:hint="eastAsia" w:hAnsi="仿宋"/>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Fonts w:ascii="黑体" w:hAnsi="黑体" w:eastAsia="黑体"/>
          <w:color w:val="000000"/>
          <w:sz w:val="44"/>
          <w:szCs w:val="44"/>
        </w:rPr>
      </w:pPr>
      <w:bookmarkStart w:id="57" w:name="_Toc15396614"/>
      <w:bookmarkStart w:id="58" w:name="_Toc15377226"/>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Fonts w:ascii="黑体" w:hAnsi="黑体" w:eastAsia="黑体"/>
          <w:color w:val="000000"/>
          <w:sz w:val="44"/>
          <w:szCs w:val="44"/>
        </w:rPr>
      </w:pPr>
    </w:p>
    <w:p>
      <w:pPr>
        <w:jc w:val="center"/>
        <w:outlineLvl w:val="0"/>
        <w:rPr>
          <w:rStyle w:val="17"/>
          <w:rFonts w:ascii="宋体"/>
          <w:bCs w:val="0"/>
          <w:color w:val="000000"/>
          <w:kern w:val="2"/>
        </w:rPr>
      </w:pPr>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7"/>
    </w:p>
    <w:p>
      <w:pPr>
        <w:jc w:val="center"/>
        <w:outlineLvl w:val="0"/>
        <w:rPr>
          <w:rStyle w:val="17"/>
        </w:rPr>
      </w:pPr>
    </w:p>
    <w:p>
      <w:pPr>
        <w:ind w:firstLine="2160" w:firstLineChars="600"/>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遂宁市发展和改革委员会</w:t>
      </w:r>
    </w:p>
    <w:p>
      <w:pPr>
        <w:jc w:val="center"/>
        <w:outlineLvl w:val="0"/>
        <w:rPr>
          <w:rFonts w:ascii="黑体" w:hAnsi="黑体" w:eastAsia="黑体" w:cs="方正小标宋简体"/>
          <w:sz w:val="36"/>
          <w:szCs w:val="36"/>
        </w:rPr>
      </w:pP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59"/>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一、部门概况</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pPr>
        <w:ind w:firstLine="640" w:firstLineChars="200"/>
        <w:rPr>
          <w:rFonts w:ascii="仿宋" w:hAnsi="仿宋" w:eastAsia="仿宋"/>
          <w:sz w:val="32"/>
          <w:szCs w:val="32"/>
        </w:rPr>
      </w:pPr>
      <w:r>
        <w:rPr>
          <w:rFonts w:hint="eastAsia" w:ascii="仿宋" w:hAnsi="仿宋" w:eastAsia="仿宋"/>
          <w:sz w:val="32"/>
          <w:szCs w:val="32"/>
        </w:rPr>
        <w:t>市发展改革委有22个内设机构和市重点工程建设办公室，即：办公室、政策法规科、发展规划科、国民经济综合科、经济体制改革科、固定资产投资科、农村经济发展科、能源交通运输科、产业发展科、社会事业科、财政金融科、项目管理科、价格管理科、收费管理科、成本调查和价格监测监审科、价格监督检查局、铁路建设管理科、招投标管理科、人事科、财务科、重大项目稽察特派员办公室、党委办公室，所属事业单位认定中心1个。</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pPr>
        <w:ind w:firstLine="640" w:firstLineChars="200"/>
        <w:rPr>
          <w:rFonts w:ascii="仿宋" w:hAnsi="仿宋" w:eastAsia="仿宋"/>
          <w:sz w:val="32"/>
          <w:szCs w:val="32"/>
        </w:rPr>
      </w:pPr>
      <w:r>
        <w:rPr>
          <w:rFonts w:hint="eastAsia" w:ascii="仿宋" w:hAnsi="仿宋" w:eastAsia="仿宋"/>
          <w:sz w:val="32"/>
          <w:szCs w:val="32"/>
        </w:rPr>
        <w:t>1、贯彻实施中、省有关国民经济和社会发展、经济体制改革的方针、政策和法律、法规。拟订全市有关国民经济和社会发展、经济体制改革的政策草案,负责本系统、本部门依法行政工作，落实行政执法责任制。</w:t>
      </w:r>
    </w:p>
    <w:p>
      <w:pPr>
        <w:rPr>
          <w:rFonts w:ascii="仿宋" w:hAnsi="仿宋" w:eastAsia="仿宋"/>
          <w:sz w:val="32"/>
          <w:szCs w:val="32"/>
        </w:rPr>
      </w:pPr>
      <w:r>
        <w:rPr>
          <w:rFonts w:hint="eastAsia" w:ascii="仿宋" w:hAnsi="仿宋" w:eastAsia="仿宋"/>
          <w:sz w:val="32"/>
          <w:szCs w:val="32"/>
        </w:rPr>
        <w:t xml:space="preserve">    2、负责制定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rPr>
          <w:rFonts w:ascii="仿宋" w:hAnsi="仿宋" w:eastAsia="仿宋"/>
          <w:sz w:val="32"/>
          <w:szCs w:val="32"/>
        </w:rPr>
      </w:pPr>
      <w:r>
        <w:rPr>
          <w:rFonts w:hint="eastAsia" w:ascii="仿宋" w:hAnsi="仿宋" w:eastAsia="仿宋"/>
          <w:sz w:val="32"/>
          <w:szCs w:val="32"/>
        </w:rPr>
        <w:t xml:space="preserve">    3、负责监测宏观经济和社会发展态势，承担预测预警和信息引导的责任，研究宏观调控重大问题并提出政策建议，搞好总量平衡，综合协调经济社会发展中的重大问题。负责全市开发区的指导、协调和宏观管理。</w:t>
      </w:r>
    </w:p>
    <w:p>
      <w:pPr>
        <w:rPr>
          <w:rFonts w:ascii="仿宋" w:hAnsi="仿宋" w:eastAsia="仿宋"/>
          <w:sz w:val="32"/>
          <w:szCs w:val="32"/>
        </w:rPr>
      </w:pPr>
      <w:r>
        <w:rPr>
          <w:rFonts w:hint="eastAsia" w:ascii="仿宋" w:hAnsi="仿宋" w:eastAsia="仿宋"/>
          <w:sz w:val="32"/>
          <w:szCs w:val="32"/>
        </w:rPr>
        <w:t xml:space="preserve">    4、负责汇总分析全市财政、金融等方面情况，参与制定财政、金融、土地政策，综合分析政策执行效果，负责全市全口径外债的总量控制、结构优化和监测工作，提出多渠道融资的政策建议，综合协调财政、金融、价格和产业政策等经济杠杆，保证全市国民经济计划和发展规划的实施。</w:t>
      </w:r>
    </w:p>
    <w:p>
      <w:pPr>
        <w:rPr>
          <w:rFonts w:ascii="仿宋" w:hAnsi="仿宋" w:eastAsia="仿宋"/>
          <w:sz w:val="32"/>
          <w:szCs w:val="32"/>
        </w:rPr>
      </w:pPr>
      <w:r>
        <w:rPr>
          <w:rFonts w:hint="eastAsia" w:ascii="仿宋" w:hAnsi="仿宋" w:eastAsia="仿宋"/>
          <w:sz w:val="32"/>
          <w:szCs w:val="32"/>
        </w:rPr>
        <w:t xml:space="preserve">    5、承担指导推进和综合协调全市经济体制改革的责任，研究经济体制改革和对外开放的重大问题，组织制定综合性经济体制改革方案，协调有关专项经济体制改革方案，会同有关部门搞好重要专项经济体制改革之间的衔接，指导经济体制改革试点和改革试验区工作。</w:t>
      </w:r>
    </w:p>
    <w:p>
      <w:pPr>
        <w:ind w:firstLine="640" w:firstLineChars="200"/>
        <w:rPr>
          <w:rFonts w:ascii="仿宋" w:hAnsi="仿宋" w:eastAsia="仿宋"/>
          <w:sz w:val="32"/>
          <w:szCs w:val="32"/>
        </w:rPr>
      </w:pPr>
      <w:r>
        <w:rPr>
          <w:rFonts w:hint="eastAsia" w:ascii="仿宋" w:hAnsi="仿宋" w:eastAsia="仿宋"/>
          <w:sz w:val="32"/>
          <w:szCs w:val="32"/>
        </w:rPr>
        <w:t>6、贯彻实施中、省、市价格方面法律、法规和方针、政策，编制和执行价格调整改革规划，提出年度价格总水平调控目标及价格调控措施并组织实施，管理中、省、市列名管理的商品和服务价格，监管实行市场调节价的商品和服务价格，承担行政事业性收费管理工作，负责全市价格监督检查、价格成本调查监审、价格监测、价格认证等工作。</w:t>
      </w:r>
    </w:p>
    <w:p>
      <w:pPr>
        <w:ind w:firstLine="640" w:firstLineChars="200"/>
        <w:rPr>
          <w:rFonts w:ascii="仿宋" w:hAnsi="仿宋" w:eastAsia="仿宋"/>
          <w:sz w:val="32"/>
          <w:szCs w:val="32"/>
        </w:rPr>
      </w:pPr>
      <w:r>
        <w:rPr>
          <w:rFonts w:hint="eastAsia" w:ascii="仿宋" w:hAnsi="仿宋" w:eastAsia="仿宋"/>
          <w:sz w:val="32"/>
          <w:szCs w:val="32"/>
        </w:rPr>
        <w:t>7、负责全市投资宏观管理和协调推进重大项目建设。制定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ind w:firstLine="640" w:firstLineChars="200"/>
        <w:rPr>
          <w:rFonts w:ascii="仿宋" w:hAnsi="仿宋" w:eastAsia="仿宋"/>
          <w:sz w:val="32"/>
          <w:szCs w:val="32"/>
        </w:rPr>
      </w:pPr>
      <w:r>
        <w:rPr>
          <w:rFonts w:hint="eastAsia" w:ascii="仿宋" w:hAnsi="仿宋" w:eastAsia="仿宋"/>
          <w:sz w:val="32"/>
          <w:szCs w:val="32"/>
        </w:rPr>
        <w:t>8、推进经济结构战略性调整。组织制定全市综合性产业政策，负责协调第一、二、三产业发展的重大问题，衔接平衡相关发展规划和重大政策，协调农业和农村经济社会发展的重大问题，衔接农村专项规划和政策。制定重大产业发展规划，引导全市重大生产力合理布局，协调推进全市重大技术装备推广应用和重大产业基地建设，会同有关部门拟订服务业、现代物流业发展战略、规划和重大政策。组织制定高技术产业发展、产业技术进步的战略、规划和重大政策，指导全市自主创新体系建设发展。</w:t>
      </w:r>
    </w:p>
    <w:p>
      <w:pPr>
        <w:ind w:firstLine="640" w:firstLineChars="200"/>
        <w:rPr>
          <w:rFonts w:ascii="仿宋" w:hAnsi="仿宋" w:eastAsia="仿宋"/>
          <w:sz w:val="32"/>
          <w:szCs w:val="32"/>
        </w:rPr>
      </w:pPr>
      <w:r>
        <w:rPr>
          <w:rFonts w:hint="eastAsia" w:ascii="仿宋" w:hAnsi="仿宋" w:eastAsia="仿宋"/>
          <w:sz w:val="32"/>
          <w:szCs w:val="32"/>
        </w:rPr>
        <w:t>9、促进城乡区域协调发展。组织编制全市主体功能区规划并协调规划实施和进行监测评估，组织制定区域协调发展战略、规划和重大政策，研究提出城镇化发展战略和统筹城乡发展的重大政策，负责地区经济协作的统筹协调。</w:t>
      </w:r>
    </w:p>
    <w:p>
      <w:pPr>
        <w:ind w:firstLine="640" w:firstLineChars="200"/>
        <w:rPr>
          <w:rFonts w:ascii="仿宋" w:hAnsi="仿宋" w:eastAsia="仿宋"/>
          <w:sz w:val="32"/>
          <w:szCs w:val="32"/>
        </w:rPr>
      </w:pPr>
      <w:r>
        <w:rPr>
          <w:rFonts w:hint="eastAsia" w:ascii="仿宋" w:hAnsi="仿宋" w:eastAsia="仿宋"/>
          <w:sz w:val="32"/>
          <w:szCs w:val="32"/>
        </w:rPr>
        <w:t>10、负责重要商品总量平衡和宏观调控。研究分析市内外市场和对外贸易运行情况，编制重要农产品、工业品和原材料进出口总量计划并监督执行。会同有关部门管理粮食、棉花等重要物资和商品的市级储备工作，提出重要商品市场、生产要素市场的总体布局和发展规划。</w:t>
      </w:r>
    </w:p>
    <w:p>
      <w:pPr>
        <w:ind w:firstLine="640" w:firstLineChars="200"/>
        <w:rPr>
          <w:rFonts w:ascii="仿宋" w:hAnsi="仿宋" w:eastAsia="仿宋"/>
          <w:sz w:val="32"/>
          <w:szCs w:val="32"/>
        </w:rPr>
      </w:pPr>
      <w:r>
        <w:rPr>
          <w:rFonts w:hint="eastAsia" w:ascii="仿宋" w:hAnsi="仿宋" w:eastAsia="仿宋"/>
          <w:sz w:val="32"/>
          <w:szCs w:val="32"/>
        </w:rPr>
        <w:t>11、负责全市社会发展与国民经济发展的政策衔接，组织制定社会发展战略、总体规划和年度计划，参与制定人口和计划生育、科学技术、教育、文化、卫生、体育、民政、残联等发展政策，推进社会事业建设。研究提出促进就业、调整收入分配、完善社会保障与经济协调发展的政策建议，协调社会事业发展和政策中的重大问题及政策。</w:t>
      </w:r>
    </w:p>
    <w:p>
      <w:pPr>
        <w:ind w:firstLine="640" w:firstLineChars="200"/>
        <w:rPr>
          <w:rFonts w:ascii="仿宋" w:hAnsi="仿宋" w:eastAsia="仿宋"/>
          <w:sz w:val="32"/>
          <w:szCs w:val="32"/>
        </w:rPr>
      </w:pPr>
      <w:r>
        <w:rPr>
          <w:rFonts w:hint="eastAsia" w:ascii="仿宋" w:hAnsi="仿宋" w:eastAsia="仿宋"/>
          <w:sz w:val="32"/>
          <w:szCs w:val="32"/>
        </w:rPr>
        <w:t>12、推进可持续发展，负责全市节能减排的综合协调工作，组织制定并协调实施全市发展循环经济、能源资源节约和综合利用规划及政策措施，参与编制生态建设、环境保护规划，协调生态建设、能源资源节约和综合利用的重大问题，综合协调环保产业和清洁生产促进有关工作。组织实施省应对气候变化重大战略规划和政策，组织制定全市应对气候变化的规划和政策措施。</w:t>
      </w:r>
    </w:p>
    <w:p>
      <w:pPr>
        <w:ind w:firstLine="640" w:firstLineChars="200"/>
        <w:rPr>
          <w:rFonts w:ascii="仿宋" w:hAnsi="仿宋" w:eastAsia="仿宋"/>
          <w:sz w:val="32"/>
          <w:szCs w:val="32"/>
        </w:rPr>
      </w:pPr>
      <w:r>
        <w:rPr>
          <w:rFonts w:hint="eastAsia" w:ascii="仿宋" w:hAnsi="仿宋" w:eastAsia="仿宋"/>
          <w:sz w:val="32"/>
          <w:szCs w:val="32"/>
        </w:rPr>
        <w:t>13、指导、协调并综合管理全市招标投标工作，对重大建设项目建设过程中的工程招标投标活动实施监督检查。</w:t>
      </w:r>
    </w:p>
    <w:p>
      <w:pPr>
        <w:ind w:firstLine="640" w:firstLineChars="200"/>
        <w:rPr>
          <w:rFonts w:ascii="仿宋" w:hAnsi="仿宋" w:eastAsia="仿宋"/>
          <w:sz w:val="32"/>
          <w:szCs w:val="32"/>
        </w:rPr>
      </w:pPr>
      <w:r>
        <w:rPr>
          <w:rFonts w:hint="eastAsia" w:ascii="仿宋" w:hAnsi="仿宋" w:eastAsia="仿宋"/>
          <w:sz w:val="32"/>
          <w:szCs w:val="32"/>
        </w:rPr>
        <w:t>14、负责组织协调和处理全市铁路建设项目前期工作、征地拆迁、建设过程中涉及的重大问题，协同做好全市铁路建设规划及年度计划编制的相关工作。</w:t>
      </w:r>
    </w:p>
    <w:p>
      <w:pPr>
        <w:ind w:firstLine="640" w:firstLineChars="200"/>
        <w:rPr>
          <w:rFonts w:ascii="仿宋" w:hAnsi="仿宋" w:eastAsia="仿宋"/>
          <w:sz w:val="32"/>
          <w:szCs w:val="32"/>
        </w:rPr>
      </w:pPr>
      <w:r>
        <w:rPr>
          <w:rFonts w:hint="eastAsia" w:ascii="仿宋" w:hAnsi="仿宋" w:eastAsia="仿宋"/>
          <w:sz w:val="32"/>
          <w:szCs w:val="32"/>
        </w:rPr>
        <w:t>15、负责组织编制全市国民经济动员与装备动员规划、计划，研究国民经济动员与装备动员和国民经济、国防建设的关系，协调相关重大问题，组织实施国民经济动员与装备动员有关工作。</w:t>
      </w:r>
    </w:p>
    <w:p>
      <w:pPr>
        <w:ind w:firstLine="640" w:firstLineChars="200"/>
        <w:rPr>
          <w:rFonts w:ascii="仿宋" w:hAnsi="仿宋" w:eastAsia="仿宋"/>
          <w:sz w:val="32"/>
          <w:szCs w:val="32"/>
        </w:rPr>
      </w:pPr>
      <w:r>
        <w:rPr>
          <w:rFonts w:hint="eastAsia" w:ascii="仿宋" w:hAnsi="仿宋" w:eastAsia="仿宋"/>
          <w:sz w:val="32"/>
          <w:szCs w:val="32"/>
        </w:rPr>
        <w:t>16、承担实施市重点工程领导小组、市应对气候变化及节能减排工作领导小组的具体工作。</w:t>
      </w:r>
    </w:p>
    <w:p>
      <w:pPr>
        <w:ind w:firstLine="640" w:firstLineChars="200"/>
        <w:rPr>
          <w:rFonts w:ascii="仿宋" w:hAnsi="仿宋" w:eastAsia="仿宋"/>
          <w:sz w:val="32"/>
          <w:szCs w:val="32"/>
        </w:rPr>
      </w:pPr>
      <w:r>
        <w:rPr>
          <w:rFonts w:hint="eastAsia" w:ascii="仿宋" w:hAnsi="仿宋" w:eastAsia="仿宋"/>
          <w:sz w:val="32"/>
          <w:szCs w:val="32"/>
        </w:rPr>
        <w:t>17、承担市政府公布的有关行政审批事项。</w:t>
      </w:r>
    </w:p>
    <w:p>
      <w:pPr>
        <w:ind w:firstLine="640" w:firstLineChars="200"/>
        <w:rPr>
          <w:rFonts w:ascii="仿宋" w:hAnsi="仿宋" w:eastAsia="仿宋"/>
          <w:sz w:val="32"/>
          <w:szCs w:val="32"/>
        </w:rPr>
      </w:pPr>
      <w:r>
        <w:rPr>
          <w:rFonts w:hint="eastAsia" w:ascii="仿宋" w:hAnsi="仿宋" w:eastAsia="仿宋"/>
          <w:sz w:val="32"/>
          <w:szCs w:val="32"/>
        </w:rPr>
        <w:t>18、承办政府交办的其他事项。</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pStyle w:val="30"/>
        <w:spacing w:line="600" w:lineRule="exact"/>
        <w:ind w:firstLine="640" w:firstLineChars="200"/>
        <w:textAlignment w:val="center"/>
        <w:rPr>
          <w:rFonts w:ascii="微软雅黑" w:hAnsi="微软雅黑" w:eastAsia="微软雅黑"/>
          <w:b/>
          <w:bCs/>
          <w:color w:val="000000"/>
          <w:sz w:val="22"/>
          <w:szCs w:val="22"/>
          <w:shd w:val="clear" w:color="auto" w:fill="FFEDC4"/>
        </w:rPr>
      </w:pPr>
      <w:r>
        <w:rPr>
          <w:rFonts w:hint="eastAsia" w:ascii="仿宋" w:hAnsi="仿宋" w:eastAsia="仿宋"/>
          <w:sz w:val="32"/>
          <w:szCs w:val="32"/>
        </w:rPr>
        <w:t>2018年末，市发展改革委共有在职在编人员77人（其中：主任1人、机关党委书记1人、副主任4人、市重点办主任1人、调研6人、原机关党委书记1人（正县级干部），副团职转业干部1人，正科职（级）27人、副科职（级）14人、科员10人、机关工勤2人，事业干部8人、事业工勤1人，其他临聘人员3人（财政补助1人）。</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pStyle w:val="31"/>
        <w:widowControl/>
        <w:adjustRightInd w:val="0"/>
        <w:snapToGrid w:val="0"/>
        <w:spacing w:line="600" w:lineRule="exact"/>
        <w:ind w:firstLine="720"/>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2018年，</w:t>
      </w:r>
      <w:r>
        <w:rPr>
          <w:rFonts w:hint="eastAsia" w:eastAsia="仿宋"/>
          <w:color w:val="000000"/>
          <w:kern w:val="0"/>
          <w:sz w:val="32"/>
          <w:szCs w:val="32"/>
          <w:shd w:val="clear" w:color="auto" w:fill="FFFFFF"/>
          <w:lang w:val="zh-CN"/>
        </w:rPr>
        <w:t>市</w:t>
      </w:r>
      <w:r>
        <w:rPr>
          <w:rFonts w:eastAsia="仿宋"/>
          <w:color w:val="000000"/>
          <w:kern w:val="0"/>
          <w:sz w:val="32"/>
          <w:szCs w:val="32"/>
          <w:shd w:val="clear" w:color="auto" w:fill="FFFFFF"/>
          <w:lang w:val="zh-CN"/>
        </w:rPr>
        <w:t>发展改革委财政拨款收入</w:t>
      </w:r>
      <w:r>
        <w:rPr>
          <w:rFonts w:hint="eastAsia" w:eastAsia="仿宋"/>
          <w:color w:val="000000"/>
          <w:kern w:val="0"/>
          <w:sz w:val="32"/>
          <w:szCs w:val="32"/>
          <w:shd w:val="clear" w:color="auto" w:fill="FFFFFF"/>
          <w:lang w:val="zh-CN"/>
        </w:rPr>
        <w:t>2875.24</w:t>
      </w:r>
      <w:r>
        <w:rPr>
          <w:rFonts w:eastAsia="仿宋"/>
          <w:color w:val="000000"/>
          <w:kern w:val="0"/>
          <w:sz w:val="32"/>
          <w:szCs w:val="32"/>
          <w:shd w:val="clear" w:color="auto" w:fill="FFFFFF"/>
          <w:lang w:val="zh-CN"/>
        </w:rPr>
        <w:t>万元，</w:t>
      </w:r>
      <w:r>
        <w:rPr>
          <w:rFonts w:eastAsia="仿宋"/>
          <w:sz w:val="32"/>
          <w:szCs w:val="32"/>
        </w:rPr>
        <w:t>全部为一般公共预算，</w:t>
      </w:r>
      <w:r>
        <w:rPr>
          <w:rFonts w:eastAsia="仿宋"/>
          <w:color w:val="000000"/>
          <w:kern w:val="0"/>
          <w:sz w:val="32"/>
          <w:szCs w:val="32"/>
          <w:shd w:val="clear" w:color="auto" w:fill="FFFFFF"/>
          <w:lang w:val="zh-CN"/>
        </w:rPr>
        <w:t>占本年收入</w:t>
      </w:r>
      <w:r>
        <w:rPr>
          <w:rFonts w:hint="eastAsia" w:eastAsia="仿宋"/>
          <w:color w:val="000000"/>
          <w:kern w:val="0"/>
          <w:sz w:val="32"/>
          <w:szCs w:val="32"/>
          <w:shd w:val="clear" w:color="auto" w:fill="FFFFFF"/>
          <w:lang w:val="zh-CN"/>
        </w:rPr>
        <w:t>84.15</w:t>
      </w:r>
      <w:r>
        <w:rPr>
          <w:rFonts w:eastAsia="仿宋"/>
          <w:color w:val="000000"/>
          <w:kern w:val="0"/>
          <w:sz w:val="32"/>
          <w:szCs w:val="32"/>
          <w:shd w:val="clear" w:color="auto" w:fill="FFFFFF"/>
          <w:lang w:val="zh-CN"/>
        </w:rPr>
        <w:t>%。</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p>
    <w:p>
      <w:pPr>
        <w:pStyle w:val="31"/>
        <w:widowControl/>
        <w:adjustRightInd w:val="0"/>
        <w:snapToGrid w:val="0"/>
        <w:spacing w:line="600" w:lineRule="exact"/>
        <w:ind w:firstLine="720"/>
        <w:jc w:val="left"/>
        <w:rPr>
          <w:rFonts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2018年，</w:t>
      </w:r>
      <w:r>
        <w:rPr>
          <w:rFonts w:hint="eastAsia" w:eastAsia="仿宋"/>
          <w:color w:val="000000"/>
          <w:kern w:val="0"/>
          <w:sz w:val="32"/>
          <w:szCs w:val="32"/>
          <w:shd w:val="clear" w:color="auto" w:fill="FFFFFF"/>
          <w:lang w:val="zh-CN"/>
        </w:rPr>
        <w:t>市</w:t>
      </w:r>
      <w:r>
        <w:rPr>
          <w:rFonts w:eastAsia="仿宋"/>
          <w:color w:val="000000"/>
          <w:kern w:val="0"/>
          <w:sz w:val="32"/>
          <w:szCs w:val="32"/>
          <w:shd w:val="clear" w:color="auto" w:fill="FFFFFF"/>
          <w:lang w:val="zh-CN"/>
        </w:rPr>
        <w:t>发展改革委财政拨款支出为</w:t>
      </w:r>
      <w:r>
        <w:rPr>
          <w:rFonts w:hint="eastAsia" w:eastAsia="仿宋"/>
          <w:color w:val="000000"/>
          <w:kern w:val="0"/>
          <w:sz w:val="32"/>
          <w:szCs w:val="32"/>
          <w:shd w:val="clear" w:color="auto" w:fill="FFFFFF"/>
          <w:lang w:val="zh-CN"/>
        </w:rPr>
        <w:t>2643.59</w:t>
      </w:r>
      <w:r>
        <w:rPr>
          <w:rFonts w:eastAsia="仿宋"/>
          <w:color w:val="000000"/>
          <w:kern w:val="0"/>
          <w:sz w:val="32"/>
          <w:szCs w:val="32"/>
          <w:shd w:val="clear" w:color="auto" w:fill="FFFFFF"/>
          <w:lang w:val="zh-CN"/>
        </w:rPr>
        <w:t>万元，占本年支出</w:t>
      </w:r>
      <w:r>
        <w:rPr>
          <w:rFonts w:hint="eastAsia" w:eastAsia="仿宋"/>
          <w:color w:val="000000"/>
          <w:kern w:val="0"/>
          <w:sz w:val="32"/>
          <w:szCs w:val="32"/>
          <w:shd w:val="clear" w:color="auto" w:fill="FFFFFF"/>
          <w:lang w:val="zh-CN"/>
        </w:rPr>
        <w:t>83.18</w:t>
      </w:r>
      <w:r>
        <w:rPr>
          <w:rFonts w:eastAsia="仿宋"/>
          <w:color w:val="000000"/>
          <w:kern w:val="0"/>
          <w:sz w:val="32"/>
          <w:szCs w:val="32"/>
          <w:shd w:val="clear" w:color="auto" w:fill="FFFFFF"/>
          <w:lang w:val="zh-CN"/>
        </w:rPr>
        <w:t>%。其中，基本支出</w:t>
      </w:r>
      <w:r>
        <w:rPr>
          <w:rFonts w:hint="eastAsia" w:eastAsia="仿宋"/>
          <w:color w:val="000000"/>
          <w:kern w:val="0"/>
          <w:sz w:val="32"/>
          <w:szCs w:val="32"/>
          <w:shd w:val="clear" w:color="auto" w:fill="FFFFFF"/>
          <w:lang w:val="zh-CN"/>
        </w:rPr>
        <w:t>1690.66</w:t>
      </w:r>
      <w:r>
        <w:rPr>
          <w:rFonts w:eastAsia="仿宋"/>
          <w:color w:val="000000"/>
          <w:kern w:val="0"/>
          <w:sz w:val="32"/>
          <w:szCs w:val="32"/>
          <w:shd w:val="clear" w:color="auto" w:fill="FFFFFF"/>
          <w:lang w:val="zh-CN"/>
        </w:rPr>
        <w:t>万元，项目支出</w:t>
      </w:r>
      <w:r>
        <w:rPr>
          <w:rFonts w:hint="eastAsia" w:eastAsia="仿宋"/>
          <w:color w:val="000000"/>
          <w:kern w:val="0"/>
          <w:sz w:val="32"/>
          <w:szCs w:val="32"/>
          <w:shd w:val="clear" w:color="auto" w:fill="FFFFFF"/>
          <w:lang w:val="zh-CN"/>
        </w:rPr>
        <w:t>952.93</w:t>
      </w:r>
      <w:r>
        <w:rPr>
          <w:rFonts w:eastAsia="仿宋"/>
          <w:color w:val="000000"/>
          <w:kern w:val="0"/>
          <w:sz w:val="32"/>
          <w:szCs w:val="32"/>
          <w:shd w:val="clear" w:color="auto" w:fill="FFFFFF"/>
          <w:lang w:val="zh-CN"/>
        </w:rPr>
        <w:t>万元。按支出经费分类，工资福利支出</w:t>
      </w:r>
      <w:r>
        <w:rPr>
          <w:rFonts w:hint="eastAsia" w:eastAsia="仿宋"/>
          <w:color w:val="000000"/>
          <w:kern w:val="0"/>
          <w:sz w:val="32"/>
          <w:szCs w:val="32"/>
          <w:shd w:val="clear" w:color="auto" w:fill="FFFFFF"/>
          <w:lang w:val="zh-CN"/>
        </w:rPr>
        <w:t>1340.75</w:t>
      </w:r>
      <w:r>
        <w:rPr>
          <w:rFonts w:eastAsia="仿宋"/>
          <w:color w:val="000000"/>
          <w:kern w:val="0"/>
          <w:sz w:val="32"/>
          <w:szCs w:val="32"/>
          <w:shd w:val="clear" w:color="auto" w:fill="FFFFFF"/>
          <w:lang w:val="zh-CN"/>
        </w:rPr>
        <w:t>万元，商品和服务支出</w:t>
      </w:r>
      <w:r>
        <w:rPr>
          <w:rFonts w:hint="eastAsia" w:eastAsia="仿宋"/>
          <w:color w:val="000000"/>
          <w:kern w:val="0"/>
          <w:sz w:val="32"/>
          <w:szCs w:val="32"/>
          <w:shd w:val="clear" w:color="auto" w:fill="FFFFFF"/>
          <w:lang w:val="zh-CN"/>
        </w:rPr>
        <w:t>1126.26</w:t>
      </w:r>
      <w:r>
        <w:rPr>
          <w:rFonts w:eastAsia="仿宋"/>
          <w:color w:val="000000"/>
          <w:kern w:val="0"/>
          <w:sz w:val="32"/>
          <w:szCs w:val="32"/>
          <w:shd w:val="clear" w:color="auto" w:fill="FFFFFF"/>
          <w:lang w:val="zh-CN"/>
        </w:rPr>
        <w:t>万元，对个人和家庭的补助支出</w:t>
      </w:r>
      <w:r>
        <w:rPr>
          <w:rFonts w:hint="eastAsia" w:eastAsia="仿宋"/>
          <w:color w:val="000000"/>
          <w:kern w:val="0"/>
          <w:sz w:val="32"/>
          <w:szCs w:val="32"/>
          <w:shd w:val="clear" w:color="auto" w:fill="FFFFFF"/>
          <w:lang w:val="zh-CN"/>
        </w:rPr>
        <w:t>164.07</w:t>
      </w:r>
      <w:r>
        <w:rPr>
          <w:rFonts w:eastAsia="仿宋"/>
          <w:color w:val="000000"/>
          <w:kern w:val="0"/>
          <w:sz w:val="32"/>
          <w:szCs w:val="32"/>
          <w:shd w:val="clear" w:color="auto" w:fill="FFFFFF"/>
          <w:lang w:val="zh-CN"/>
        </w:rPr>
        <w:t>万元，资本性支出</w:t>
      </w:r>
      <w:r>
        <w:rPr>
          <w:rFonts w:hint="eastAsia" w:eastAsia="仿宋"/>
          <w:color w:val="000000"/>
          <w:kern w:val="0"/>
          <w:sz w:val="32"/>
          <w:szCs w:val="32"/>
          <w:shd w:val="clear" w:color="auto" w:fill="FFFFFF"/>
          <w:lang w:val="zh-CN"/>
        </w:rPr>
        <w:t>12.51</w:t>
      </w:r>
      <w:r>
        <w:rPr>
          <w:rFonts w:eastAsia="仿宋"/>
          <w:color w:val="000000"/>
          <w:kern w:val="0"/>
          <w:sz w:val="32"/>
          <w:szCs w:val="32"/>
          <w:shd w:val="clear" w:color="auto" w:fill="FFFFFF"/>
          <w:lang w:val="zh-CN"/>
        </w:rPr>
        <w:t>万元。</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1.绩效目标制定及完成情况。市发展改革委根据2018年度工作安排设定部门整体预算绩效目标，</w:t>
      </w:r>
      <w:r>
        <w:rPr>
          <w:rFonts w:eastAsia="仿宋"/>
          <w:sz w:val="32"/>
          <w:szCs w:val="32"/>
        </w:rPr>
        <w:t>整体绩效目标符合中长期规划，切合当前实际，在全面反映年度主要目标任务基础上，细化、量化了预期成果和效益指标，绩效目标监控和考核具有科学性、合理性和可操作性。</w:t>
      </w:r>
      <w:r>
        <w:rPr>
          <w:rFonts w:hint="eastAsia" w:eastAsia="仿宋"/>
          <w:sz w:val="32"/>
          <w:szCs w:val="32"/>
        </w:rPr>
        <w:t>2018年纳入绩效目标的“</w:t>
      </w:r>
      <w:r>
        <w:rPr>
          <w:rFonts w:hint="eastAsia" w:ascii="仿宋_GB2312" w:hAnsi="仿宋_GB2312" w:eastAsia="仿宋_GB2312" w:cs="仿宋_GB2312"/>
          <w:sz w:val="32"/>
          <w:szCs w:val="32"/>
        </w:rPr>
        <w:t>“派驻纪检组专项经费（办案经费）”1个项目2.22万元，通过项目实施，保障了既定目标圆满完成，全年完成线索处置2件，立案1件，通过项目实施，进一步正风肃纪，营造了廉政勤氛围政，进一步建立风清气正，廉洁从政良好风气。</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2.预算编制情况。</w:t>
      </w:r>
      <w:r>
        <w:rPr>
          <w:rFonts w:hint="eastAsia" w:ascii="仿宋" w:hAnsi="仿宋" w:eastAsia="仿宋"/>
          <w:sz w:val="32"/>
          <w:szCs w:val="32"/>
        </w:rPr>
        <w:t>2018年预算编制严格按照《遂宁市财政局关于编制市级部门2018—2020年支出规划和2018年部门预算的通知》（遂财预〔2017〕40号文）要求，坚持依法理财、量入为出、收支平衡、统筹兼顾的原则，由财务科牵头，各科室密切配合，认真、细致、完整地做好了2018年度基本支出、项目支出、“三公”经费、政府采购等各项预算的编审工作。部门整体绩效目标编制完整、合理，并对各科室、局、中心细化下达了年度具体绩效管理目标。对各项项目资金进行了明确、量化。</w:t>
      </w:r>
    </w:p>
    <w:p>
      <w:pPr>
        <w:ind w:firstLine="640" w:firstLineChars="200"/>
        <w:rPr>
          <w:rFonts w:ascii="仿宋" w:hAnsi="仿宋" w:eastAsia="仿宋"/>
          <w:sz w:val="32"/>
          <w:szCs w:val="32"/>
        </w:rPr>
      </w:pPr>
      <w:r>
        <w:rPr>
          <w:rFonts w:hint="eastAsia" w:ascii="仿宋" w:hAnsi="仿宋" w:eastAsia="仿宋"/>
          <w:sz w:val="32"/>
          <w:szCs w:val="32"/>
        </w:rPr>
        <w:t>3.预算执行情况。</w:t>
      </w:r>
      <w:r>
        <w:rPr>
          <w:rFonts w:hint="eastAsia" w:ascii="仿宋" w:hAnsi="仿宋" w:eastAsia="仿宋" w:cs="仿宋_GB2312"/>
          <w:sz w:val="32"/>
          <w:szCs w:val="32"/>
        </w:rPr>
        <w:t>市发展改革委根据2018年</w:t>
      </w:r>
      <w:r>
        <w:rPr>
          <w:rFonts w:hint="eastAsia" w:ascii="仿宋" w:hAnsi="仿宋" w:eastAsia="仿宋"/>
          <w:sz w:val="32"/>
          <w:szCs w:val="32"/>
        </w:rPr>
        <w:t>按要求严格预算执行管理，根据工作需要，及时安排使用各项资金。预算资金未发生中期评估调整取消资金、无预算结余注销资金，预算编制准确率100%。2018年1-6月预算支出812.94万元，执行进度30.75%；1-9月预算支出1599.32万元，执行进度60.50%；1-11月预算支出2125.40万元，执行进度80.40%；全年执行进度100%。</w:t>
      </w:r>
    </w:p>
    <w:p>
      <w:pPr>
        <w:pStyle w:val="31"/>
        <w:widowControl/>
        <w:adjustRightInd w:val="0"/>
        <w:snapToGrid w:val="0"/>
        <w:ind w:firstLine="720"/>
        <w:jc w:val="left"/>
        <w:rPr>
          <w:rFonts w:eastAsia="仿宋"/>
          <w:color w:val="000000"/>
          <w:kern w:val="0"/>
          <w:sz w:val="32"/>
          <w:szCs w:val="32"/>
          <w:shd w:val="clear" w:color="auto" w:fill="FFFFFF"/>
          <w:lang w:val="zh-CN"/>
        </w:rPr>
      </w:pPr>
      <w:r>
        <w:rPr>
          <w:rFonts w:hint="eastAsia" w:ascii="仿宋" w:hAnsi="仿宋" w:eastAsia="仿宋"/>
          <w:sz w:val="32"/>
          <w:szCs w:val="32"/>
        </w:rPr>
        <w:t>4.市发展改革</w:t>
      </w:r>
      <w:r>
        <w:rPr>
          <w:rFonts w:eastAsia="仿宋"/>
          <w:color w:val="000000"/>
          <w:kern w:val="0"/>
          <w:sz w:val="32"/>
          <w:szCs w:val="32"/>
          <w:shd w:val="clear" w:color="auto" w:fill="FFFFFF"/>
          <w:lang w:val="zh-CN"/>
        </w:rPr>
        <w:t>委</w:t>
      </w:r>
      <w:r>
        <w:rPr>
          <w:rFonts w:eastAsia="仿宋"/>
          <w:color w:val="000000"/>
          <w:kern w:val="0"/>
          <w:sz w:val="32"/>
          <w:szCs w:val="32"/>
          <w:shd w:val="clear" w:color="auto" w:fill="FFFFFF"/>
        </w:rPr>
        <w:t>2018年无违纪违规问题。</w:t>
      </w:r>
    </w:p>
    <w:p>
      <w:pPr>
        <w:ind w:firstLine="480" w:firstLineChars="150"/>
        <w:rPr>
          <w:rFonts w:ascii="仿宋" w:hAnsi="仿宋" w:eastAsia="仿宋" w:cs="仿宋_GB2312"/>
          <w:sz w:val="32"/>
          <w:szCs w:val="32"/>
        </w:rPr>
      </w:pPr>
      <w:r>
        <w:rPr>
          <w:rFonts w:hint="eastAsia" w:ascii="仿宋" w:hAnsi="仿宋" w:eastAsia="仿宋" w:cs="仿宋_GB2312"/>
          <w:sz w:val="32"/>
          <w:szCs w:val="32"/>
        </w:rPr>
        <w:t>（二）专项预算管理。</w:t>
      </w:r>
    </w:p>
    <w:p>
      <w:pPr>
        <w:ind w:firstLine="640" w:firstLineChars="200"/>
        <w:rPr>
          <w:rFonts w:eastAsia="仿宋_GB2312"/>
          <w:sz w:val="32"/>
          <w:szCs w:val="32"/>
        </w:rPr>
      </w:pPr>
      <w:r>
        <w:rPr>
          <w:rFonts w:hint="eastAsia" w:ascii="仿宋" w:hAnsi="仿宋" w:eastAsia="仿宋" w:cs="仿宋_GB2312"/>
          <w:sz w:val="32"/>
          <w:szCs w:val="32"/>
        </w:rPr>
        <w:t>1.专项预算情况。市发展改革委专项项目主要包括固定资产投资项目节能评估、物价管理、政府投资项目可研报告评审、劳务费专项。一是</w:t>
      </w:r>
      <w:r>
        <w:rPr>
          <w:rStyle w:val="15"/>
          <w:rFonts w:ascii="仿宋" w:hAnsi="仿宋" w:eastAsia="仿宋"/>
          <w:color w:val="000000"/>
          <w:sz w:val="32"/>
          <w:szCs w:val="32"/>
        </w:rPr>
        <w:t>专项项目的设立，经过了严格评估论证；管理制度完善健全。</w:t>
      </w:r>
      <w:r>
        <w:rPr>
          <w:rStyle w:val="15"/>
          <w:rFonts w:hint="eastAsia" w:ascii="仿宋" w:hAnsi="仿宋" w:eastAsia="仿宋"/>
          <w:color w:val="000000"/>
          <w:sz w:val="32"/>
          <w:szCs w:val="32"/>
        </w:rPr>
        <w:t>二是对项目安排突出重点，</w:t>
      </w:r>
      <w:r>
        <w:rPr>
          <w:rFonts w:eastAsia="仿宋_GB2312"/>
          <w:sz w:val="32"/>
          <w:szCs w:val="32"/>
        </w:rPr>
        <w:t>聚焦</w:t>
      </w:r>
    </w:p>
    <w:p>
      <w:pPr>
        <w:rPr>
          <w:rFonts w:eastAsia="仿宋_GB2312"/>
          <w:sz w:val="32"/>
          <w:szCs w:val="32"/>
        </w:rPr>
      </w:pPr>
    </w:p>
    <w:p>
      <w:pPr>
        <w:rPr>
          <w:rFonts w:eastAsia="仿宋_GB2312"/>
          <w:sz w:val="32"/>
          <w:szCs w:val="32"/>
        </w:rPr>
      </w:pPr>
      <w:r>
        <w:rPr>
          <w:rFonts w:eastAsia="仿宋_GB2312"/>
          <w:sz w:val="32"/>
          <w:szCs w:val="32"/>
        </w:rPr>
        <w:t>聚力推动重点项目建设，对全</w:t>
      </w:r>
      <w:r>
        <w:rPr>
          <w:rFonts w:hint="eastAsia" w:eastAsia="仿宋_GB2312"/>
          <w:sz w:val="32"/>
          <w:szCs w:val="32"/>
        </w:rPr>
        <w:t>市</w:t>
      </w:r>
      <w:r>
        <w:rPr>
          <w:rFonts w:eastAsia="仿宋_GB2312"/>
          <w:sz w:val="32"/>
          <w:szCs w:val="32"/>
        </w:rPr>
        <w:t>经济社会发展起到重要的引领带动作用。</w:t>
      </w:r>
      <w:r>
        <w:rPr>
          <w:rFonts w:hint="eastAsia" w:eastAsia="仿宋_GB2312"/>
          <w:sz w:val="32"/>
          <w:szCs w:val="32"/>
        </w:rPr>
        <w:t>三是</w:t>
      </w:r>
      <w:r>
        <w:rPr>
          <w:rFonts w:eastAsia="仿宋_GB2312"/>
          <w:sz w:val="32"/>
          <w:szCs w:val="32"/>
        </w:rPr>
        <w:t>不断优化</w:t>
      </w:r>
      <w:r>
        <w:rPr>
          <w:rFonts w:hint="eastAsia" w:eastAsia="仿宋_GB2312"/>
          <w:sz w:val="32"/>
          <w:szCs w:val="32"/>
        </w:rPr>
        <w:t>专项项目的</w:t>
      </w:r>
      <w:r>
        <w:rPr>
          <w:rFonts w:eastAsia="仿宋_GB2312"/>
          <w:sz w:val="32"/>
          <w:szCs w:val="32"/>
        </w:rPr>
        <w:t>分配程序</w:t>
      </w:r>
      <w:r>
        <w:rPr>
          <w:rFonts w:hint="eastAsia" w:eastAsia="仿宋_GB2312"/>
          <w:sz w:val="32"/>
          <w:szCs w:val="32"/>
        </w:rPr>
        <w:t>，</w:t>
      </w:r>
      <w:r>
        <w:rPr>
          <w:rFonts w:eastAsia="仿宋_GB2312"/>
          <w:sz w:val="32"/>
          <w:szCs w:val="32"/>
        </w:rPr>
        <w:t>明确资金分配范围、方法和标准，资金安排规范科学。</w:t>
      </w:r>
    </w:p>
    <w:p>
      <w:pPr>
        <w:pBdr>
          <w:top w:val="single" w:color="FFFFFF" w:sz="4" w:space="0"/>
          <w:left w:val="single" w:color="FFFFFF" w:sz="4" w:space="31"/>
          <w:bottom w:val="single" w:color="FFFFFF" w:sz="4" w:space="31"/>
          <w:right w:val="single" w:color="FFFFFF" w:sz="4" w:space="17"/>
        </w:pBdr>
        <w:ind w:firstLine="640"/>
        <w:rPr>
          <w:rFonts w:ascii="仿宋_GB2312" w:hAnsi="仿宋_GB2312" w:eastAsia="仿宋_GB2312" w:cs="仿宋_GB2312"/>
          <w:bCs/>
          <w:sz w:val="32"/>
          <w:szCs w:val="32"/>
        </w:rPr>
      </w:pPr>
      <w:r>
        <w:rPr>
          <w:rFonts w:hint="eastAsia" w:eastAsia="仿宋_GB2312"/>
          <w:sz w:val="32"/>
          <w:szCs w:val="32"/>
        </w:rPr>
        <w:t>2、专项实施绩效情况。</w:t>
      </w:r>
      <w:r>
        <w:rPr>
          <w:rFonts w:hint="eastAsia" w:ascii="仿宋" w:hAnsi="仿宋" w:eastAsia="仿宋" w:cs="仿宋_GB2312"/>
          <w:b/>
          <w:bCs/>
          <w:sz w:val="32"/>
          <w:szCs w:val="32"/>
        </w:rPr>
        <w:t>一是狠抓项目投资，支撑作用不断强化。</w:t>
      </w:r>
      <w:r>
        <w:rPr>
          <w:rFonts w:hint="eastAsia" w:ascii="仿宋_GB2312" w:hAnsi="仿宋_GB2312" w:eastAsia="仿宋_GB2312" w:cs="仿宋_GB2312"/>
          <w:bCs/>
          <w:sz w:val="32"/>
          <w:szCs w:val="32"/>
        </w:rPr>
        <w:t>建立三级联动项目储备库，科学谋划三年储备项目1602个、估算总投资11234亿元，积极争取到33个独立实施的项目纳入2018年省重点项目，加快推进138个省市重点项目建设，组织4次集中开工仪式。坚持市级领导联系重大项目机制，将76个重大项目纳入市委市政府重大决策部署事项。促进民间投资健康发展，出台《进一步促进民间投资健康发展的实施意见》，进一步放宽市场准入，鼓励民间资本参与投资、建设、运营基础设施和社会事业类项目，已完成采购和正在进行采购PPP项目17个，吸引社会资本136.4亿元。全市民间投资占比保持在51%以上。</w:t>
      </w:r>
      <w:r>
        <w:rPr>
          <w:rFonts w:hint="eastAsia" w:ascii="仿宋" w:hAnsi="仿宋" w:eastAsia="仿宋" w:cs="仿宋_GB2312"/>
          <w:b/>
          <w:bCs/>
          <w:sz w:val="32"/>
          <w:szCs w:val="32"/>
        </w:rPr>
        <w:t>二是深化改革开放，发展动力不断增强。</w:t>
      </w:r>
      <w:r>
        <w:rPr>
          <w:rFonts w:hint="eastAsia" w:ascii="仿宋_GB2312" w:hAnsi="仿宋_GB2312" w:eastAsia="仿宋_GB2312" w:cs="仿宋_GB2312"/>
          <w:bCs/>
          <w:sz w:val="32"/>
          <w:szCs w:val="32"/>
        </w:rPr>
        <w:t>进一步降低实体企业成本，取消、停征、减免行政事业性收费和政府性基金116项，1-9月累计为全市企业降低税费成本约23亿元。加快推进国有企事业单位公车改革、供给侧结构性改革、投融资体制改革、社会信用体系建设、价格改革、收入分配制度改革等牵头事项，在《四川改革》刊载三篇经验文章。</w:t>
      </w:r>
      <w:r>
        <w:rPr>
          <w:rFonts w:hint="eastAsia" w:ascii="仿宋" w:hAnsi="仿宋" w:eastAsia="仿宋" w:cs="仿宋_GB2312"/>
          <w:b/>
          <w:bCs/>
          <w:sz w:val="32"/>
          <w:szCs w:val="32"/>
        </w:rPr>
        <w:t>三是推进重大设施建设，发展基础不断提升。</w:t>
      </w:r>
      <w:r>
        <w:rPr>
          <w:rFonts w:hint="eastAsia" w:ascii="仿宋_GB2312" w:hAnsi="仿宋_GB2312" w:eastAsia="仿宋_GB2312" w:cs="仿宋_GB2312"/>
          <w:bCs/>
          <w:sz w:val="32"/>
          <w:szCs w:val="32"/>
        </w:rPr>
        <w:t>加快推进涪江复航工程，项目前期研究工作经费列入2018年省西部大开发重点项目中央预算内投资补助资金计划。完成成达万高铁和绵遂内城际铁路《可研报告》资料收集和高铁场站、线路基本走向实地踏勘工作，成达万高铁项目列入四川省2019年度拟开工建设项目。完成将安居通用机场升级民用运输机场纳入《中国民用航空局民用运输机场建设“十三五”规划》中期调整申报工作。加快推进柳树电航工程竣工建设。完成唐家渡电航工程的库区防洪（护）堤工程可行性研究报告重大设计变更和概算调整审查。实施10千伏及以下农村电网改造升级工程项目97个。</w:t>
      </w:r>
      <w:r>
        <w:rPr>
          <w:rFonts w:hint="eastAsia" w:ascii="仿宋_GB2312" w:hAnsi="仿宋_GB2312" w:eastAsia="仿宋_GB2312" w:cs="仿宋_GB2312"/>
          <w:b/>
          <w:bCs/>
          <w:sz w:val="32"/>
          <w:szCs w:val="32"/>
        </w:rPr>
        <w:t>四是规范市场行为，发展环境不断优化。</w:t>
      </w:r>
      <w:r>
        <w:rPr>
          <w:rFonts w:hint="eastAsia" w:ascii="仿宋_GB2312" w:hAnsi="仿宋_GB2312" w:eastAsia="仿宋_GB2312" w:cs="仿宋_GB2312"/>
          <w:bCs/>
          <w:sz w:val="32"/>
          <w:szCs w:val="32"/>
        </w:rPr>
        <w:t>强化价格调控，加大对居民生活必需品、农业生产资料的价格监测，启动社会救助和保障标准与物价上涨挂钩联动机制，对市城区14904户低保家庭，实施了临时价格补贴。严格控制</w:t>
      </w:r>
      <w:r>
        <w:rPr>
          <w:rFonts w:hint="eastAsia" w:ascii="仿宋_GB2312" w:hAnsi="宋体" w:eastAsia="仿宋_GB2312"/>
          <w:bCs/>
          <w:sz w:val="32"/>
        </w:rPr>
        <w:t>价费调整，除国家规定调价项目外，一律未出台涉及民生的政府提价项目。</w:t>
      </w:r>
      <w:r>
        <w:rPr>
          <w:rFonts w:hint="eastAsia" w:ascii="仿宋_GB2312" w:hAnsi="仿宋_GB2312" w:eastAsia="仿宋_GB2312" w:cs="仿宋_GB2312"/>
          <w:bCs/>
          <w:sz w:val="32"/>
          <w:szCs w:val="32"/>
        </w:rPr>
        <w:t>专项整治易地扶贫搬迁中建材价格行为，开展教育、医疗收费和景区门票价格检查。降低水电气等要素成本，积极开展涉企收费、金融机构收费和城市供水、供气、电信领域价格重点检查，建立完善居民生活用气用水用电阶梯价格制度，进一步降低企业水电气等要素成本。建立遂宁市政府投资项目中标候选人创新评定机制，修订招标范本，建立投标失信企业黑名单制度，进一步杜绝围标串标，建立良好招投标环境。</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eastAsia="仿宋_GB2312"/>
          <w:sz w:val="32"/>
          <w:szCs w:val="32"/>
        </w:rPr>
        <w:t>3.专项</w:t>
      </w:r>
      <w:r>
        <w:rPr>
          <w:rFonts w:eastAsia="仿宋_GB2312"/>
          <w:sz w:val="32"/>
          <w:szCs w:val="32"/>
        </w:rPr>
        <w:t>预算管理方面</w:t>
      </w:r>
      <w:r>
        <w:rPr>
          <w:rFonts w:hint="eastAsia" w:eastAsia="仿宋_GB2312"/>
          <w:sz w:val="32"/>
          <w:szCs w:val="32"/>
        </w:rPr>
        <w:t>不</w:t>
      </w:r>
      <w:r>
        <w:rPr>
          <w:rFonts w:eastAsia="仿宋_GB2312"/>
          <w:sz w:val="32"/>
          <w:szCs w:val="32"/>
        </w:rPr>
        <w:t>存在违纪违规问题。</w:t>
      </w:r>
    </w:p>
    <w:p>
      <w:pPr>
        <w:pBdr>
          <w:top w:val="single" w:color="FFFFFF" w:sz="4" w:space="0"/>
          <w:left w:val="single" w:color="FFFFFF" w:sz="4" w:space="31"/>
          <w:bottom w:val="single" w:color="FFFFFF" w:sz="4" w:space="31"/>
          <w:right w:val="single" w:color="FFFFFF" w:sz="4" w:space="17"/>
        </w:pBdr>
        <w:ind w:firstLine="640" w:firstLineChars="200"/>
        <w:rPr>
          <w:rFonts w:ascii="仿宋" w:hAnsi="仿宋" w:eastAsia="仿宋" w:cs="仿宋_GB2312"/>
          <w:sz w:val="32"/>
          <w:szCs w:val="32"/>
        </w:rPr>
      </w:pPr>
    </w:p>
    <w:p>
      <w:pPr>
        <w:pBdr>
          <w:top w:val="single" w:color="FFFFFF" w:sz="4" w:space="0"/>
          <w:left w:val="single" w:color="FFFFFF" w:sz="4" w:space="31"/>
          <w:bottom w:val="single" w:color="FFFFFF" w:sz="4" w:space="31"/>
          <w:right w:val="single" w:color="FFFFFF" w:sz="4" w:space="17"/>
        </w:pBdr>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pBdr>
          <w:top w:val="single" w:color="FFFFFF" w:sz="4" w:space="0"/>
          <w:left w:val="single" w:color="FFFFFF" w:sz="4" w:space="31"/>
          <w:bottom w:val="single" w:color="FFFFFF" w:sz="4" w:space="31"/>
          <w:right w:val="single" w:color="FFFFFF" w:sz="4" w:space="17"/>
        </w:pBdr>
        <w:ind w:firstLine="640" w:firstLineChars="200"/>
        <w:rPr>
          <w:rFonts w:ascii="仿宋" w:hAnsi="仿宋" w:eastAsia="仿宋"/>
          <w:color w:val="000000"/>
          <w:kern w:val="0"/>
          <w:sz w:val="32"/>
          <w:szCs w:val="32"/>
          <w:shd w:val="clear" w:color="auto" w:fill="FFFFFF"/>
          <w:lang w:val="zh-CN"/>
        </w:rPr>
      </w:pPr>
      <w:r>
        <w:rPr>
          <w:rFonts w:eastAsia="仿宋"/>
          <w:color w:val="000000"/>
          <w:kern w:val="0"/>
          <w:sz w:val="32"/>
          <w:szCs w:val="32"/>
          <w:shd w:val="clear" w:color="auto" w:fill="FFFFFF"/>
          <w:lang w:val="zh-CN"/>
        </w:rPr>
        <w:t>按照</w:t>
      </w:r>
      <w:r>
        <w:rPr>
          <w:rFonts w:hint="eastAsia" w:eastAsia="仿宋"/>
          <w:color w:val="000000"/>
          <w:kern w:val="0"/>
          <w:sz w:val="32"/>
          <w:szCs w:val="32"/>
          <w:shd w:val="clear" w:color="auto" w:fill="FFFFFF"/>
          <w:lang w:val="zh-CN"/>
        </w:rPr>
        <w:t>市</w:t>
      </w:r>
      <w:r>
        <w:rPr>
          <w:rFonts w:eastAsia="仿宋"/>
          <w:color w:val="000000"/>
          <w:kern w:val="0"/>
          <w:sz w:val="32"/>
          <w:szCs w:val="32"/>
          <w:shd w:val="clear" w:color="auto" w:fill="FFFFFF"/>
          <w:lang w:val="zh-CN"/>
        </w:rPr>
        <w:t>财政</w:t>
      </w:r>
      <w:r>
        <w:rPr>
          <w:rFonts w:hint="eastAsia" w:eastAsia="仿宋"/>
          <w:color w:val="000000"/>
          <w:kern w:val="0"/>
          <w:sz w:val="32"/>
          <w:szCs w:val="32"/>
          <w:shd w:val="clear" w:color="auto" w:fill="FFFFFF"/>
          <w:lang w:val="zh-CN"/>
        </w:rPr>
        <w:t>局</w:t>
      </w:r>
      <w:r>
        <w:rPr>
          <w:rFonts w:eastAsia="仿宋"/>
          <w:color w:val="000000"/>
          <w:kern w:val="0"/>
          <w:sz w:val="32"/>
          <w:szCs w:val="32"/>
          <w:shd w:val="clear" w:color="auto" w:fill="FFFFFF"/>
          <w:lang w:val="zh-CN"/>
        </w:rPr>
        <w:t>通知要求，</w:t>
      </w:r>
      <w:r>
        <w:rPr>
          <w:rFonts w:hint="eastAsia" w:eastAsia="仿宋"/>
          <w:color w:val="000000"/>
          <w:kern w:val="0"/>
          <w:sz w:val="32"/>
          <w:szCs w:val="32"/>
          <w:shd w:val="clear" w:color="auto" w:fill="FFFFFF"/>
          <w:lang w:val="zh-CN"/>
        </w:rPr>
        <w:t>市发展改革</w:t>
      </w:r>
      <w:r>
        <w:rPr>
          <w:rFonts w:eastAsia="仿宋"/>
          <w:color w:val="000000"/>
          <w:kern w:val="0"/>
          <w:sz w:val="32"/>
          <w:szCs w:val="32"/>
          <w:shd w:val="clear" w:color="auto" w:fill="FFFFFF"/>
          <w:lang w:val="zh-CN"/>
        </w:rPr>
        <w:t>委2018年整体绩效目标随同2018年部门预算向社会进行了公开，部门整体绩效自评情况和项目绩效自评情况随同2017年部门决算向社会进行了公开。</w:t>
      </w:r>
      <w:r>
        <w:rPr>
          <w:rFonts w:hint="eastAsia" w:ascii="仿宋" w:hAnsi="仿宋" w:eastAsia="仿宋"/>
          <w:color w:val="333333"/>
          <w:sz w:val="32"/>
          <w:szCs w:val="32"/>
        </w:rPr>
        <w:t>对在绩效评价中发现的问题，积极进行整改，不断提高财政资金的使用效率，努力达到预期的目标。</w:t>
      </w:r>
    </w:p>
    <w:p>
      <w:pPr>
        <w:pBdr>
          <w:top w:val="single" w:color="FFFFFF" w:sz="4" w:space="0"/>
          <w:left w:val="single" w:color="FFFFFF" w:sz="4" w:space="31"/>
          <w:bottom w:val="single" w:color="FFFFFF" w:sz="4" w:space="31"/>
          <w:right w:val="single" w:color="FFFFFF" w:sz="4" w:space="17"/>
        </w:pBdr>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cs="仿宋_GB2312"/>
          <w:sz w:val="32"/>
          <w:szCs w:val="32"/>
        </w:rPr>
        <w:t>（一）评价结论。</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sz w:val="32"/>
          <w:szCs w:val="32"/>
        </w:rPr>
        <w:t>2018年，市发展改革委自评得分98.15分。市发展改革委预算支出按要求在预算额度内，统筹安排，合理开支，保障日常运行，突出重点工作，机关各项工作有序开展。资金支付审批程序、手续合规、完善，账务处理及时、规范，账表数据真实、一致。按时保质完成财政等部门安排的相关工作，及时公开信息、报送相关资料、报表。</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sz w:val="32"/>
          <w:szCs w:val="32"/>
        </w:rPr>
      </w:pPr>
      <w:r>
        <w:rPr>
          <w:rFonts w:hint="eastAsia" w:ascii="仿宋" w:hAnsi="仿宋" w:eastAsia="仿宋" w:cs="仿宋_GB2312"/>
          <w:sz w:val="32"/>
          <w:szCs w:val="32"/>
        </w:rPr>
        <w:t>（二）存在问题。</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bCs/>
          <w:sz w:val="32"/>
          <w:szCs w:val="32"/>
        </w:rPr>
      </w:pPr>
      <w:r>
        <w:rPr>
          <w:rFonts w:hint="eastAsia" w:ascii="仿宋" w:hAnsi="仿宋" w:eastAsia="仿宋"/>
          <w:sz w:val="32"/>
          <w:szCs w:val="32"/>
        </w:rPr>
        <w:t>一是因工作性质外出争取项目、易地扶贫搬迁牵头、项目稽察等任务重，日常公用经费缺口较大；二是因工作需要，我委聘有3名临聘人员（财政补助1人），经费不足；三是硬性报刊征订任务重、数量大、费用高。</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sz w:val="32"/>
          <w:szCs w:val="32"/>
        </w:rPr>
      </w:pPr>
      <w:r>
        <w:rPr>
          <w:rFonts w:hint="eastAsia" w:ascii="仿宋" w:hAnsi="仿宋" w:eastAsia="仿宋" w:cs="仿宋_GB2312"/>
          <w:sz w:val="32"/>
          <w:szCs w:val="32"/>
        </w:rPr>
        <w:t>（三）改进建议。</w:t>
      </w:r>
    </w:p>
    <w:p>
      <w:pPr>
        <w:pBdr>
          <w:top w:val="single" w:color="FFFFFF" w:sz="4" w:space="0"/>
          <w:left w:val="single" w:color="FFFFFF" w:sz="4" w:space="31"/>
          <w:bottom w:val="single" w:color="FFFFFF" w:sz="4" w:space="31"/>
          <w:right w:val="single" w:color="FFFFFF" w:sz="4" w:space="17"/>
        </w:pBdr>
        <w:ind w:firstLine="640"/>
        <w:rPr>
          <w:rFonts w:ascii="仿宋" w:hAnsi="仿宋" w:eastAsia="仿宋" w:cs="仿宋_GB2312"/>
          <w:sz w:val="32"/>
          <w:szCs w:val="32"/>
        </w:rPr>
      </w:pPr>
      <w:r>
        <w:rPr>
          <w:rFonts w:hint="eastAsia" w:ascii="仿宋" w:hAnsi="仿宋" w:eastAsia="仿宋"/>
          <w:sz w:val="32"/>
          <w:szCs w:val="32"/>
        </w:rPr>
        <w:t>一是进一步控制日常公用经费。二是完善制度，规范资金管理使用，提高资金使用效益。三是在干部职工中加大新《预算法》的学习力度，增强按预算、按计划开支的意识。</w:t>
      </w:r>
      <w:r>
        <w:rPr>
          <w:rFonts w:hint="eastAsia" w:ascii="仿宋" w:hAnsi="仿宋" w:eastAsia="仿宋" w:cs="仿宋_GB2312"/>
          <w:sz w:val="32"/>
          <w:szCs w:val="32"/>
        </w:rPr>
        <w:t xml:space="preserve">  </w:t>
      </w:r>
    </w:p>
    <w:p>
      <w:pPr>
        <w:pBdr>
          <w:top w:val="single" w:color="FFFFFF" w:sz="4" w:space="0"/>
          <w:left w:val="single" w:color="FFFFFF" w:sz="4" w:space="31"/>
          <w:bottom w:val="single" w:color="FFFFFF" w:sz="4" w:space="31"/>
          <w:right w:val="single" w:color="FFFFFF" w:sz="4" w:space="17"/>
        </w:pBdr>
        <w:spacing w:line="620" w:lineRule="exact"/>
        <w:ind w:firstLine="640"/>
        <w:rPr>
          <w:rFonts w:ascii="仿宋" w:hAnsi="仿宋" w:eastAsia="仿宋" w:cs="仿宋_GB2312"/>
          <w:sz w:val="32"/>
          <w:szCs w:val="32"/>
        </w:rPr>
      </w:pPr>
    </w:p>
    <w:p>
      <w:pPr>
        <w:pBdr>
          <w:top w:val="single" w:color="FFFFFF" w:sz="4" w:space="0"/>
          <w:left w:val="single" w:color="FFFFFF" w:sz="4" w:space="31"/>
          <w:bottom w:val="single" w:color="FFFFFF" w:sz="4" w:space="31"/>
          <w:right w:val="single" w:color="FFFFFF" w:sz="4" w:space="17"/>
        </w:pBdr>
        <w:spacing w:line="620" w:lineRule="exact"/>
        <w:ind w:firstLine="640"/>
        <w:jc w:val="center"/>
        <w:rPr>
          <w:rFonts w:ascii="仿宋" w:hAnsi="仿宋" w:eastAsia="仿宋" w:cs="仿宋_GB2312"/>
          <w:sz w:val="32"/>
          <w:szCs w:val="32"/>
        </w:rPr>
      </w:pPr>
      <w:r>
        <w:rPr>
          <w:rFonts w:hint="eastAsia" w:ascii="黑体" w:hAnsi="黑体" w:eastAsia="黑体"/>
          <w:sz w:val="28"/>
          <w:szCs w:val="28"/>
        </w:rPr>
        <w:t>2018年市级部门整体支出绩效评价得分</w:t>
      </w:r>
    </w:p>
    <w:tbl>
      <w:tblPr>
        <w:tblStyle w:val="12"/>
        <w:tblW w:w="9329" w:type="dxa"/>
        <w:jc w:val="center"/>
        <w:tblLayout w:type="autofit"/>
        <w:tblCellMar>
          <w:top w:w="0" w:type="dxa"/>
          <w:left w:w="108" w:type="dxa"/>
          <w:bottom w:w="0" w:type="dxa"/>
          <w:right w:w="108" w:type="dxa"/>
        </w:tblCellMar>
      </w:tblPr>
      <w:tblGrid>
        <w:gridCol w:w="1060"/>
        <w:gridCol w:w="1060"/>
        <w:gridCol w:w="1578"/>
        <w:gridCol w:w="2313"/>
        <w:gridCol w:w="2580"/>
        <w:gridCol w:w="738"/>
      </w:tblGrid>
      <w:tr>
        <w:trPr>
          <w:trHeight w:val="312" w:hRule="atLeast"/>
          <w:tblHeader/>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一级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二级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三级指标</w:t>
            </w:r>
          </w:p>
        </w:tc>
        <w:tc>
          <w:tcPr>
            <w:tcW w:w="23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指标解释</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计分标准（备注）</w:t>
            </w:r>
          </w:p>
        </w:tc>
        <w:tc>
          <w:tcPr>
            <w:tcW w:w="7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cs="宋体"/>
                <w:b/>
                <w:kern w:val="0"/>
                <w:sz w:val="24"/>
              </w:rPr>
            </w:pPr>
            <w:r>
              <w:rPr>
                <w:rFonts w:hint="eastAsia" w:ascii="仿宋_GB2312" w:hAnsi="宋体" w:cs="宋体"/>
                <w:b/>
                <w:bCs/>
                <w:kern w:val="0"/>
                <w:sz w:val="20"/>
                <w:szCs w:val="20"/>
              </w:rPr>
              <w:t>得分</w:t>
            </w:r>
          </w:p>
        </w:tc>
      </w:tr>
      <w:tr>
        <w:trPr>
          <w:trHeight w:val="930"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预算编制（</w:t>
            </w:r>
            <w:r>
              <w:rPr>
                <w:rFonts w:hint="eastAsia" w:ascii="宋体" w:hAnsi="宋体" w:cs="宋体"/>
                <w:kern w:val="0"/>
                <w:sz w:val="20"/>
                <w:szCs w:val="20"/>
              </w:rPr>
              <w:t>10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报送时效（</w:t>
            </w:r>
            <w:r>
              <w:rPr>
                <w:rFonts w:hint="eastAsia" w:ascii="宋体" w:hAnsi="宋体" w:cs="宋体"/>
                <w:kern w:val="0"/>
                <w:sz w:val="20"/>
                <w:szCs w:val="20"/>
              </w:rPr>
              <w:t>1</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基础信息更新（</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部门是否按照市级部门预算编制通知和有关要求，按时完成基础库、项目库报送工作</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超过规定</w:t>
            </w:r>
            <w:r>
              <w:rPr>
                <w:rFonts w:hint="eastAsia" w:ascii="宋体" w:hAnsi="宋体" w:cs="宋体"/>
                <w:kern w:val="0"/>
                <w:sz w:val="20"/>
                <w:szCs w:val="20"/>
              </w:rPr>
              <w:t>5</w:t>
            </w:r>
            <w:r>
              <w:rPr>
                <w:rFonts w:hint="eastAsia" w:ascii="仿宋_GB2312" w:hAnsi="宋体" w:cs="宋体"/>
                <w:kern w:val="0"/>
                <w:sz w:val="20"/>
                <w:szCs w:val="20"/>
              </w:rPr>
              <w:t>个工作日扣</w:t>
            </w:r>
            <w:r>
              <w:rPr>
                <w:rFonts w:hint="eastAsia" w:ascii="宋体" w:hAnsi="宋体" w:cs="宋体"/>
                <w:kern w:val="0"/>
                <w:sz w:val="20"/>
                <w:szCs w:val="20"/>
              </w:rPr>
              <w:t>0.5</w:t>
            </w:r>
            <w:r>
              <w:rPr>
                <w:rFonts w:hint="eastAsia" w:ascii="仿宋_GB2312" w:hAnsi="宋体" w:cs="宋体"/>
                <w:kern w:val="0"/>
                <w:sz w:val="20"/>
                <w:szCs w:val="20"/>
              </w:rPr>
              <w:t>分，</w:t>
            </w:r>
            <w:r>
              <w:rPr>
                <w:rFonts w:hint="eastAsia" w:ascii="宋体" w:hAnsi="宋体" w:cs="宋体"/>
                <w:kern w:val="0"/>
                <w:sz w:val="20"/>
                <w:szCs w:val="20"/>
              </w:rPr>
              <w:t>10</w:t>
            </w:r>
            <w:r>
              <w:rPr>
                <w:rFonts w:hint="eastAsia" w:ascii="仿宋_GB2312" w:hAnsi="宋体" w:cs="宋体"/>
                <w:kern w:val="0"/>
                <w:sz w:val="20"/>
                <w:szCs w:val="20"/>
              </w:rPr>
              <w:t>个工作日扣</w:t>
            </w:r>
            <w:r>
              <w:rPr>
                <w:rFonts w:hint="eastAsia" w:ascii="宋体" w:hAnsi="宋体" w:cs="宋体"/>
                <w:kern w:val="0"/>
                <w:sz w:val="20"/>
                <w:szCs w:val="20"/>
              </w:rPr>
              <w:t>1</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w:t>
            </w:r>
          </w:p>
        </w:tc>
      </w:tr>
      <w:tr>
        <w:trPr>
          <w:trHeight w:val="85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spacing w:line="220" w:lineRule="exact"/>
              <w:jc w:val="left"/>
              <w:rPr>
                <w:rFonts w:ascii="仿宋_GB2312" w:hAnsi="宋体" w:cs="宋体"/>
                <w:kern w:val="0"/>
                <w:sz w:val="20"/>
                <w:szCs w:val="20"/>
              </w:rPr>
            </w:pPr>
            <w:r>
              <w:rPr>
                <w:rFonts w:hint="eastAsia" w:ascii="仿宋_GB2312" w:hAnsi="宋体" w:cs="宋体"/>
                <w:kern w:val="0"/>
                <w:sz w:val="20"/>
                <w:szCs w:val="20"/>
              </w:rPr>
              <w:t>编制质量（</w:t>
            </w:r>
            <w:r>
              <w:rPr>
                <w:rFonts w:hint="eastAsia" w:ascii="宋体" w:hAnsi="宋体" w:cs="宋体"/>
                <w:kern w:val="0"/>
                <w:sz w:val="20"/>
                <w:szCs w:val="20"/>
              </w:rPr>
              <w:t>2</w:t>
            </w:r>
            <w:r>
              <w:rPr>
                <w:rFonts w:hint="eastAsia" w:ascii="仿宋_GB2312" w:hAnsi="宋体" w:cs="宋体"/>
                <w:kern w:val="0"/>
                <w:sz w:val="20"/>
                <w:szCs w:val="20"/>
              </w:rPr>
              <w:t>分）</w:t>
            </w:r>
            <w:r>
              <w:rPr>
                <w:rFonts w:hint="eastAsia" w:ascii="宋体" w:hAnsi="宋体" w:cs="宋体"/>
                <w:kern w:val="0"/>
                <w:sz w:val="24"/>
              </w:rPr>
              <w:t>　</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预算编制准确（</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（预算资金总来源</w:t>
            </w:r>
            <w:r>
              <w:rPr>
                <w:rFonts w:hint="eastAsia" w:ascii="宋体" w:hAnsi="宋体" w:cs="宋体"/>
                <w:kern w:val="0"/>
                <w:sz w:val="20"/>
                <w:szCs w:val="20"/>
              </w:rPr>
              <w:t>-</w:t>
            </w:r>
            <w:r>
              <w:rPr>
                <w:rFonts w:hint="eastAsia" w:ascii="仿宋_GB2312" w:hAnsi="宋体" w:cs="宋体"/>
                <w:kern w:val="0"/>
                <w:sz w:val="20"/>
                <w:szCs w:val="20"/>
              </w:rPr>
              <w:t>中期评估调整取消资金</w:t>
            </w:r>
            <w:r>
              <w:rPr>
                <w:rFonts w:hint="eastAsia" w:ascii="宋体" w:hAnsi="宋体" w:cs="宋体"/>
                <w:kern w:val="0"/>
                <w:sz w:val="20"/>
                <w:szCs w:val="20"/>
              </w:rPr>
              <w:t>-</w:t>
            </w:r>
            <w:r>
              <w:rPr>
                <w:rFonts w:hint="eastAsia" w:ascii="仿宋_GB2312" w:hAnsi="宋体" w:cs="宋体"/>
                <w:kern w:val="0"/>
                <w:sz w:val="20"/>
                <w:szCs w:val="20"/>
              </w:rPr>
              <w:t>预算结余注销资金）÷预算资金总来源</w:t>
            </w:r>
            <w:r>
              <w:rPr>
                <w:rFonts w:hint="eastAsia" w:ascii="宋体" w:hAnsi="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其中：预算资金总来源是指市级年初预算与执行中追加预算（不含当年中省专款）总和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w:t>
            </w:r>
          </w:p>
        </w:tc>
      </w:tr>
      <w:tr>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cs="宋体"/>
                <w:kern w:val="0"/>
                <w:sz w:val="24"/>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部门预算审查（</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根据市人大预工委对预算草案审查结果进行考核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对预工委审查后提出并确需修改的问题，每个问题扣</w:t>
            </w:r>
            <w:r>
              <w:rPr>
                <w:rFonts w:hint="eastAsia" w:ascii="宋体" w:hAnsi="宋体" w:cs="宋体"/>
                <w:kern w:val="0"/>
                <w:sz w:val="20"/>
                <w:szCs w:val="20"/>
              </w:rPr>
              <w:t>0.02</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w:t>
            </w:r>
          </w:p>
        </w:tc>
      </w:tr>
      <w:tr>
        <w:trPr>
          <w:trHeight w:val="75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绩效目标（</w:t>
            </w:r>
            <w:r>
              <w:rPr>
                <w:rFonts w:hint="eastAsia" w:ascii="宋体" w:hAnsi="宋体" w:cs="宋体"/>
                <w:kern w:val="0"/>
                <w:sz w:val="20"/>
                <w:szCs w:val="20"/>
              </w:rPr>
              <w:t>5</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部门整体绩效目标编制完整、合理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部门整体绩效目标能完整、合理反映部门年度职责履行情况的得分，否则不得分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72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重点项目绩效目标（</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项目绩效目标编制明确、量化</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项目支出绩效目标编制不明确和量化的发现一个扣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rPr>
          <w:trHeight w:val="64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按规定提前下达转移支付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未按规定提前下达转移支付的，按比例进行扣分。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rPr>
          <w:trHeight w:val="81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r>
              <w:rPr>
                <w:rFonts w:hint="eastAsia" w:ascii="宋体" w:hAnsi="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按规定分地区分项目编制专项转移支付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未按规定编制的，按比例进行扣分。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rPr>
          <w:trHeight w:val="65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预算执行（</w:t>
            </w:r>
            <w:r>
              <w:rPr>
                <w:rFonts w:hint="eastAsia" w:ascii="宋体" w:hAnsi="宋体" w:cs="宋体"/>
                <w:kern w:val="0"/>
                <w:sz w:val="20"/>
                <w:szCs w:val="20"/>
              </w:rPr>
              <w:t>20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执行进度（</w:t>
            </w:r>
            <w:r>
              <w:rPr>
                <w:rFonts w:hint="eastAsia" w:ascii="宋体" w:hAnsi="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市级财力专项预算分配时限（</w:t>
            </w:r>
            <w:r>
              <w:rPr>
                <w:rFonts w:hint="eastAsia" w:ascii="宋体" w:hAnsi="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按规定及时分配市级财力专项预算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按《预算法》规定时限完成分配的考核得分，否则不得分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4</w:t>
            </w:r>
          </w:p>
        </w:tc>
      </w:tr>
      <w:tr>
        <w:trPr>
          <w:trHeight w:val="60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中省专款分配合规率（</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按《预算法》规定在一个月内分配中、省专款</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1-</w:t>
            </w:r>
            <w:r>
              <w:rPr>
                <w:rFonts w:hint="eastAsia" w:ascii="仿宋_GB2312" w:hAnsi="宋体" w:cs="宋体"/>
                <w:kern w:val="0"/>
                <w:sz w:val="20"/>
                <w:szCs w:val="20"/>
              </w:rPr>
              <w:t>未按规定时间在</w:t>
            </w:r>
            <w:r>
              <w:rPr>
                <w:rFonts w:hint="eastAsia" w:ascii="宋体" w:hAnsi="宋体" w:cs="宋体"/>
                <w:kern w:val="0"/>
                <w:sz w:val="20"/>
                <w:szCs w:val="20"/>
              </w:rPr>
              <w:t>1</w:t>
            </w:r>
            <w:r>
              <w:rPr>
                <w:rFonts w:hint="eastAsia" w:ascii="仿宋_GB2312" w:hAnsi="宋体" w:cs="宋体"/>
                <w:kern w:val="0"/>
                <w:sz w:val="20"/>
                <w:szCs w:val="20"/>
              </w:rPr>
              <w:t>个月内分配的中省专款规模÷中省专款总规模）</w:t>
            </w:r>
            <w:r>
              <w:rPr>
                <w:rFonts w:hint="eastAsia" w:ascii="宋体" w:hAnsi="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rPr>
          <w:trHeight w:val="49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部门预算执行进度（</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部门按要求严格预算执行管理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部门预算实际列支数÷部门预算总额</w:t>
            </w:r>
            <w:r>
              <w:rPr>
                <w:rFonts w:hint="eastAsia" w:ascii="宋体" w:hAnsi="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rPr>
          <w:trHeight w:val="88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预算调整（</w:t>
            </w:r>
            <w:r>
              <w:rPr>
                <w:rFonts w:hint="eastAsia" w:ascii="宋体" w:hAnsi="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执行中期评估（</w:t>
            </w:r>
            <w:r>
              <w:rPr>
                <w:rFonts w:hint="eastAsia" w:ascii="宋体" w:hAnsi="宋体" w:cs="宋体"/>
                <w:kern w:val="0"/>
                <w:sz w:val="20"/>
                <w:szCs w:val="20"/>
              </w:rPr>
              <w:t>4</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部门中期评估调整取消资金÷</w:t>
            </w:r>
            <w:r>
              <w:rPr>
                <w:rFonts w:hint="eastAsia" w:ascii="宋体" w:hAnsi="宋体" w:cs="宋体"/>
                <w:kern w:val="0"/>
                <w:sz w:val="20"/>
                <w:szCs w:val="20"/>
              </w:rPr>
              <w:t>(</w:t>
            </w:r>
            <w:r>
              <w:rPr>
                <w:rFonts w:hint="eastAsia" w:ascii="仿宋_GB2312" w:hAnsi="宋体" w:cs="宋体"/>
                <w:kern w:val="0"/>
                <w:sz w:val="20"/>
                <w:szCs w:val="20"/>
              </w:rPr>
              <w:t>中期评估调整取消资金</w:t>
            </w:r>
            <w:r>
              <w:rPr>
                <w:rFonts w:hint="eastAsia" w:ascii="宋体" w:hAnsi="宋体" w:cs="宋体"/>
                <w:kern w:val="0"/>
                <w:sz w:val="20"/>
                <w:szCs w:val="20"/>
              </w:rPr>
              <w:t>+</w:t>
            </w:r>
            <w:r>
              <w:rPr>
                <w:rFonts w:hint="eastAsia" w:ascii="仿宋_GB2312" w:hAnsi="宋体" w:cs="宋体"/>
                <w:kern w:val="0"/>
                <w:sz w:val="20"/>
                <w:szCs w:val="20"/>
              </w:rPr>
              <w:t>预算结余注销资金）</w:t>
            </w:r>
            <w:r>
              <w:rPr>
                <w:rFonts w:hint="eastAsia" w:ascii="宋体" w:hAnsi="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当中期评估调整取消资金与结余注销资金之和为零时，得满分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4</w:t>
            </w:r>
          </w:p>
        </w:tc>
      </w:tr>
      <w:tr>
        <w:trPr>
          <w:trHeight w:val="46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行政成本（</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节能降耗（</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严格执行节能降耗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根据机关事务管理局节能考核换算得分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rPr>
          <w:trHeight w:val="66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三公经费（</w:t>
            </w:r>
            <w:r>
              <w:rPr>
                <w:rFonts w:hint="eastAsia" w:ascii="宋体" w:hAnsi="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严格执行“三公经费”预算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部门“三公”经费决算数一项超预算扣</w:t>
            </w:r>
            <w:r>
              <w:rPr>
                <w:rFonts w:hint="eastAsia" w:ascii="宋体" w:hAnsi="宋体" w:cs="宋体"/>
                <w:kern w:val="0"/>
                <w:sz w:val="20"/>
                <w:szCs w:val="20"/>
              </w:rPr>
              <w:t>1</w:t>
            </w:r>
            <w:r>
              <w:rPr>
                <w:rFonts w:hint="eastAsia" w:ascii="仿宋_GB2312" w:hAnsi="宋体" w:cs="宋体"/>
                <w:kern w:val="0"/>
                <w:sz w:val="20"/>
                <w:szCs w:val="20"/>
              </w:rPr>
              <w:t>分，两项超预算扣</w:t>
            </w:r>
            <w:r>
              <w:rPr>
                <w:rFonts w:hint="eastAsia" w:ascii="宋体" w:hAnsi="宋体" w:cs="宋体"/>
                <w:kern w:val="0"/>
                <w:sz w:val="20"/>
                <w:szCs w:val="20"/>
              </w:rPr>
              <w:t>2</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3</w:t>
            </w:r>
          </w:p>
        </w:tc>
      </w:tr>
      <w:tr>
        <w:trPr>
          <w:trHeight w:val="71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cs="宋体"/>
                <w:kern w:val="0"/>
                <w:sz w:val="20"/>
                <w:szCs w:val="20"/>
              </w:rPr>
              <w:t>40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债务管理（</w:t>
            </w:r>
            <w:r>
              <w:rPr>
                <w:rFonts w:hint="eastAsia" w:ascii="宋体" w:hAnsi="宋体" w:cs="宋体"/>
                <w:kern w:val="0"/>
                <w:sz w:val="20"/>
                <w:szCs w:val="20"/>
              </w:rPr>
              <w:t>2</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债务还本付息（</w:t>
            </w:r>
            <w:r>
              <w:rPr>
                <w:rFonts w:hint="eastAsia" w:ascii="宋体" w:hAnsi="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按规定做好政府性债务还本付息工作</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实际还本付息金额÷应付金额×指标分值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rPr>
          <w:trHeight w:val="144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非税收入执收情况（</w:t>
            </w:r>
            <w:r>
              <w:rPr>
                <w:rFonts w:hint="eastAsia" w:ascii="宋体" w:hAnsi="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非税收入征收情况（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是否按照规定的项目、标准、征收方式执收非税收入，非税收入项目设立的权限和缓减免的依据，对非税收入进行缓减免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发现有未按规定的非税收入项目、标准执收非税收入或有违反规定缓减免非税收入的，发现一次扣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05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非税收入上缴情况（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是否及时足额将非税收入缴入财政</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发现未及时足额将非税收入缴入财政的或者截留、挪用非税收入的，发现一次扣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5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w:t>
            </w:r>
            <w:r>
              <w:rPr>
                <w:rFonts w:hint="eastAsia" w:ascii="宋体" w:hAnsi="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政府采购实施计划编制（</w:t>
            </w:r>
            <w:r>
              <w:rPr>
                <w:rFonts w:hint="eastAsia" w:ascii="宋体" w:hAnsi="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实施计划与政府采购预算的一致性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1-</w:t>
            </w:r>
            <w:r>
              <w:rPr>
                <w:rFonts w:hint="eastAsia" w:ascii="仿宋_GB2312" w:hAnsi="宋体" w:cs="宋体"/>
                <w:kern w:val="0"/>
                <w:sz w:val="20"/>
                <w:szCs w:val="20"/>
              </w:rPr>
              <w:t>调整或细化资金</w:t>
            </w:r>
            <w:r>
              <w:rPr>
                <w:rFonts w:hint="eastAsia" w:ascii="宋体" w:hAnsi="宋体" w:cs="宋体"/>
                <w:kern w:val="0"/>
                <w:sz w:val="20"/>
                <w:szCs w:val="20"/>
              </w:rPr>
              <w:t>/</w:t>
            </w:r>
            <w:r>
              <w:rPr>
                <w:rFonts w:hint="eastAsia" w:ascii="仿宋_GB2312" w:hAnsi="宋体" w:cs="宋体"/>
                <w:kern w:val="0"/>
                <w:sz w:val="20"/>
                <w:szCs w:val="20"/>
              </w:rPr>
              <w:t>政府采购预算资金）</w:t>
            </w:r>
            <w:r>
              <w:rPr>
                <w:rFonts w:hint="eastAsia" w:ascii="宋体" w:hAnsi="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89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政府采购实施计划的执行（</w:t>
            </w:r>
            <w:r>
              <w:rPr>
                <w:rFonts w:hint="eastAsia" w:ascii="宋体" w:hAnsi="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执行的实施计划与备案的实施计划的一致性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1-</w:t>
            </w:r>
            <w:r>
              <w:rPr>
                <w:rFonts w:hint="eastAsia" w:ascii="仿宋_GB2312" w:hAnsi="宋体" w:cs="宋体"/>
                <w:kern w:val="0"/>
                <w:sz w:val="20"/>
                <w:szCs w:val="20"/>
              </w:rPr>
              <w:t>实施计划备案后的调整或细化资金</w:t>
            </w:r>
            <w:r>
              <w:rPr>
                <w:rFonts w:hint="eastAsia" w:ascii="宋体" w:hAnsi="宋体" w:cs="宋体"/>
                <w:kern w:val="0"/>
                <w:sz w:val="20"/>
                <w:szCs w:val="20"/>
              </w:rPr>
              <w:t>/</w:t>
            </w:r>
            <w:r>
              <w:rPr>
                <w:rFonts w:hint="eastAsia" w:ascii="仿宋_GB2312" w:hAnsi="宋体" w:cs="宋体"/>
                <w:kern w:val="0"/>
                <w:sz w:val="20"/>
                <w:szCs w:val="20"/>
              </w:rPr>
              <w:t>实施计划备案后的资金）</w:t>
            </w:r>
            <w:r>
              <w:rPr>
                <w:rFonts w:hint="eastAsia" w:ascii="宋体" w:hAnsi="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55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资产管理信息系统建设情况（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考核部门和单位将国有资产纳入资产信息系统管理情况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①未将所属单位国有资产纳入系统管理，每少一个单位扣</w:t>
            </w:r>
            <w:r>
              <w:rPr>
                <w:rFonts w:hint="eastAsia" w:ascii="宋体" w:hAnsi="宋体" w:cs="宋体"/>
                <w:kern w:val="0"/>
                <w:sz w:val="20"/>
                <w:szCs w:val="20"/>
              </w:rPr>
              <w:t>1</w:t>
            </w:r>
            <w:r>
              <w:rPr>
                <w:rFonts w:hint="eastAsia" w:ascii="仿宋_GB2312" w:hAnsi="宋体" w:cs="宋体"/>
                <w:kern w:val="0"/>
                <w:sz w:val="20"/>
                <w:szCs w:val="20"/>
              </w:rPr>
              <w:t>分。②未将资产变动情况及时录入系统，每次扣</w:t>
            </w:r>
            <w:r>
              <w:rPr>
                <w:rFonts w:hint="eastAsia" w:ascii="宋体" w:hAnsi="宋体" w:cs="宋体"/>
                <w:kern w:val="0"/>
                <w:sz w:val="20"/>
                <w:szCs w:val="20"/>
              </w:rPr>
              <w:t>0.5</w:t>
            </w:r>
            <w:r>
              <w:rPr>
                <w:rFonts w:hint="eastAsia" w:ascii="仿宋_GB2312" w:hAnsi="宋体" w:cs="宋体"/>
                <w:kern w:val="0"/>
                <w:sz w:val="20"/>
                <w:szCs w:val="20"/>
              </w:rPr>
              <w:t>分。③未落实人员负责管理系统，扣</w:t>
            </w:r>
            <w:r>
              <w:rPr>
                <w:rFonts w:hint="eastAsia" w:ascii="宋体" w:hAnsi="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250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行政事业单位资产清查开展情况（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考核行政事业单位按要求及时、准确、全面开展资产清查工作情况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①未在规定时间内完成资产清查任务扣</w:t>
            </w:r>
            <w:r>
              <w:rPr>
                <w:rFonts w:hint="eastAsia" w:ascii="宋体" w:hAnsi="宋体" w:cs="宋体"/>
                <w:kern w:val="0"/>
                <w:sz w:val="20"/>
                <w:szCs w:val="20"/>
              </w:rPr>
              <w:t>1</w:t>
            </w:r>
            <w:r>
              <w:rPr>
                <w:rFonts w:hint="eastAsia" w:ascii="仿宋_GB2312" w:hAnsi="宋体" w:cs="宋体"/>
                <w:kern w:val="0"/>
                <w:sz w:val="20"/>
                <w:szCs w:val="20"/>
              </w:rPr>
              <w:t>分。②资产清查结果与财政组织复核的结果误差超过</w:t>
            </w:r>
            <w:r>
              <w:rPr>
                <w:rFonts w:hint="eastAsia" w:ascii="宋体" w:hAnsi="宋体" w:cs="宋体"/>
                <w:kern w:val="0"/>
                <w:sz w:val="20"/>
                <w:szCs w:val="20"/>
              </w:rPr>
              <w:t>10%</w:t>
            </w:r>
            <w:r>
              <w:rPr>
                <w:rFonts w:hint="eastAsia" w:ascii="仿宋_GB2312" w:hAnsi="宋体" w:cs="宋体"/>
                <w:kern w:val="0"/>
                <w:sz w:val="20"/>
                <w:szCs w:val="20"/>
              </w:rPr>
              <w:t>的扣</w:t>
            </w:r>
            <w:r>
              <w:rPr>
                <w:rFonts w:hint="eastAsia" w:ascii="宋体" w:hAnsi="宋体" w:cs="宋体"/>
                <w:kern w:val="0"/>
                <w:sz w:val="20"/>
                <w:szCs w:val="20"/>
              </w:rPr>
              <w:t>1</w:t>
            </w:r>
            <w:r>
              <w:rPr>
                <w:rFonts w:hint="eastAsia" w:ascii="仿宋_GB2312" w:hAnsi="宋体" w:cs="宋体"/>
                <w:kern w:val="0"/>
                <w:sz w:val="20"/>
                <w:szCs w:val="20"/>
              </w:rPr>
              <w:t>分。③未及时按批复的清查结果进行账务调整扣</w:t>
            </w:r>
            <w:r>
              <w:rPr>
                <w:rFonts w:hint="eastAsia" w:ascii="宋体" w:hAnsi="宋体" w:cs="宋体"/>
                <w:kern w:val="0"/>
                <w:sz w:val="20"/>
                <w:szCs w:val="20"/>
              </w:rPr>
              <w:t>1</w:t>
            </w:r>
            <w:r>
              <w:rPr>
                <w:rFonts w:hint="eastAsia" w:ascii="仿宋_GB2312" w:hAnsi="宋体" w:cs="宋体"/>
                <w:kern w:val="0"/>
                <w:sz w:val="20"/>
                <w:szCs w:val="20"/>
              </w:rPr>
              <w:t>分。④未及时更新资产管理信息系统，导致系统资产数据与上报财政的资产清查结果不一致扣</w:t>
            </w:r>
            <w:r>
              <w:rPr>
                <w:rFonts w:hint="eastAsia" w:ascii="宋体" w:hAnsi="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79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行政事业单位资产报表上报情况（</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考核行政事业单位上报国有资产报表数据的真实性、准确性、全面性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①未落实专人负责资产报表，未及时上报资产报表扣</w:t>
            </w:r>
            <w:r>
              <w:rPr>
                <w:rFonts w:hint="eastAsia" w:ascii="宋体" w:hAnsi="宋体" w:cs="宋体"/>
                <w:kern w:val="0"/>
                <w:sz w:val="20"/>
                <w:szCs w:val="20"/>
              </w:rPr>
              <w:t>1</w:t>
            </w:r>
            <w:r>
              <w:rPr>
                <w:rFonts w:hint="eastAsia" w:ascii="仿宋_GB2312" w:hAnsi="宋体" w:cs="宋体"/>
                <w:kern w:val="0"/>
                <w:sz w:val="20"/>
                <w:szCs w:val="20"/>
              </w:rPr>
              <w:t>分。②报表填报不规范，内容不完整，数据不真实，扣</w:t>
            </w:r>
            <w:r>
              <w:rPr>
                <w:rFonts w:hint="eastAsia" w:ascii="宋体" w:hAnsi="宋体" w:cs="宋体"/>
                <w:kern w:val="0"/>
                <w:sz w:val="20"/>
                <w:szCs w:val="20"/>
              </w:rPr>
              <w:t>1</w:t>
            </w:r>
            <w:r>
              <w:rPr>
                <w:rFonts w:hint="eastAsia" w:ascii="仿宋_GB2312" w:hAnsi="宋体" w:cs="宋体"/>
                <w:kern w:val="0"/>
                <w:sz w:val="20"/>
                <w:szCs w:val="20"/>
              </w:rPr>
              <w:t>分。③未提交分析报告，对资产变动情况未作分析说明，扣</w:t>
            </w:r>
            <w:r>
              <w:rPr>
                <w:rFonts w:hint="eastAsia" w:ascii="宋体" w:hAnsi="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53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内控制度管理（</w:t>
            </w:r>
            <w:r>
              <w:rPr>
                <w:rFonts w:hint="eastAsia" w:ascii="宋体" w:hAnsi="宋体" w:cs="宋体"/>
                <w:kern w:val="0"/>
                <w:sz w:val="20"/>
                <w:szCs w:val="20"/>
              </w:rPr>
              <w:t>2</w:t>
            </w:r>
            <w:r>
              <w:rPr>
                <w:rFonts w:hint="eastAsia" w:ascii="仿宋_GB2312" w:hAnsi="宋体" w:cs="宋体"/>
                <w:kern w:val="0"/>
                <w:sz w:val="20"/>
                <w:szCs w:val="20"/>
              </w:rPr>
              <w:t>分）</w:t>
            </w:r>
          </w:p>
        </w:tc>
        <w:tc>
          <w:tcPr>
            <w:tcW w:w="15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内部控制度健全完整（</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考核部门内部控制制度的设置和执行情况</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72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信息公开（</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预算公开（</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除涉密信息外，各部门要在财政部门批复后二十日内向社会公开本部门预算（含所有财政资金安排的“三公”经费、机关运行经费的安排、使用情况等）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按财政局通知要求公开预算，未按要求公开的，发现一处扣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44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决算公开（</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除涉密信息外，各部门要在财政部门批复二十日内向社会公开本部门决算（含所有财政资金安排的“三公”经费、机关运行经费的安排、使用情况等）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90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绩效信息公开（</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按要求公开部门整体支出绩效自评报告及其他按要求应公开的绩效信息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174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cs="宋体"/>
                <w:kern w:val="0"/>
                <w:sz w:val="20"/>
                <w:szCs w:val="20"/>
              </w:rPr>
              <w:t>40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绩效评价（</w:t>
            </w:r>
            <w:r>
              <w:rPr>
                <w:rFonts w:hint="eastAsia" w:ascii="宋体" w:hAnsi="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评价项目覆盖率（</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评价覆盖率</w:t>
            </w:r>
            <w:r>
              <w:rPr>
                <w:rFonts w:hint="eastAsia" w:ascii="宋体" w:hAnsi="宋体" w:cs="宋体"/>
                <w:kern w:val="0"/>
                <w:sz w:val="20"/>
                <w:szCs w:val="20"/>
              </w:rPr>
              <w:t>=</w:t>
            </w:r>
            <w:r>
              <w:rPr>
                <w:rFonts w:hint="eastAsia" w:ascii="仿宋_GB2312" w:hAnsi="宋体" w:cs="宋体"/>
                <w:kern w:val="0"/>
                <w:sz w:val="20"/>
                <w:szCs w:val="20"/>
              </w:rPr>
              <w:t>实施绩效评价项目数量</w:t>
            </w:r>
            <w:r>
              <w:rPr>
                <w:rFonts w:hint="eastAsia" w:ascii="宋体" w:hAnsi="宋体" w:cs="宋体"/>
                <w:kern w:val="0"/>
                <w:sz w:val="20"/>
                <w:szCs w:val="20"/>
              </w:rPr>
              <w:t>/</w:t>
            </w:r>
            <w:r>
              <w:rPr>
                <w:rFonts w:hint="eastAsia" w:ascii="仿宋_GB2312" w:hAnsi="宋体" w:cs="宋体"/>
                <w:kern w:val="0"/>
                <w:sz w:val="20"/>
                <w:szCs w:val="20"/>
              </w:rPr>
              <w:t>部门管理专项预算项目数量×</w:t>
            </w:r>
            <w:r>
              <w:rPr>
                <w:rFonts w:hint="eastAsia" w:ascii="宋体" w:hAnsi="宋体" w:cs="宋体"/>
                <w:kern w:val="0"/>
                <w:sz w:val="20"/>
                <w:szCs w:val="20"/>
              </w:rPr>
              <w:t>100%</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85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评价层次（</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部门（单位）是否对下级预算单位开展整体绩效评价</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实施评价下级预算单位的得分，否则不得分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rPr>
          <w:trHeight w:val="85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评价结果报告（</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部门是否按要求向财政部门报告自评报告等相关绩效信息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未按要求报送的，发现一处扣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86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整改完成率（</w:t>
            </w:r>
            <w:r>
              <w:rPr>
                <w:rFonts w:hint="eastAsia" w:ascii="宋体" w:hAnsi="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部门是否按要求针对绩效评价发现问题制定整改措施，并整改落实到位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完成率</w:t>
            </w:r>
            <w:r>
              <w:rPr>
                <w:rFonts w:hint="eastAsia" w:ascii="宋体" w:hAnsi="宋体" w:cs="宋体"/>
                <w:kern w:val="0"/>
                <w:sz w:val="20"/>
                <w:szCs w:val="20"/>
              </w:rPr>
              <w:t>=</w:t>
            </w:r>
            <w:r>
              <w:rPr>
                <w:rFonts w:hint="eastAsia" w:ascii="仿宋_GB2312" w:hAnsi="宋体" w:cs="宋体"/>
                <w:kern w:val="0"/>
                <w:sz w:val="20"/>
                <w:szCs w:val="20"/>
              </w:rPr>
              <w:t>应制定整改措施的项目数量</w:t>
            </w:r>
            <w:r>
              <w:rPr>
                <w:rFonts w:hint="eastAsia" w:ascii="宋体" w:hAnsi="宋体" w:cs="宋体"/>
                <w:kern w:val="0"/>
                <w:sz w:val="20"/>
                <w:szCs w:val="20"/>
              </w:rPr>
              <w:t>/</w:t>
            </w:r>
            <w:r>
              <w:rPr>
                <w:rFonts w:hint="eastAsia" w:ascii="仿宋_GB2312" w:hAnsi="宋体" w:cs="宋体"/>
                <w:kern w:val="0"/>
                <w:sz w:val="20"/>
                <w:szCs w:val="20"/>
              </w:rPr>
              <w:t>部门实际制定整改措施项目数量×</w:t>
            </w:r>
            <w:r>
              <w:rPr>
                <w:rFonts w:hint="eastAsia" w:ascii="宋体" w:hAnsi="宋体" w:cs="宋体"/>
                <w:kern w:val="0"/>
                <w:sz w:val="20"/>
                <w:szCs w:val="20"/>
              </w:rPr>
              <w:t>100%</w:t>
            </w:r>
            <w:r>
              <w:rPr>
                <w:rFonts w:hint="eastAsia" w:ascii="仿宋_GB2312" w:hAnsi="宋体" w:cs="宋体"/>
                <w:kern w:val="0"/>
                <w:sz w:val="20"/>
                <w:szCs w:val="20"/>
              </w:rPr>
              <w:t>。</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4</w:t>
            </w:r>
          </w:p>
        </w:tc>
      </w:tr>
      <w:tr>
        <w:trPr>
          <w:trHeight w:val="180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依法接受财政监督（</w:t>
            </w:r>
            <w:r>
              <w:rPr>
                <w:rFonts w:hint="eastAsia" w:ascii="宋体" w:hAnsi="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是否按要求开展自查自纠（</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根据相关自查自纠报告、报表报送时效和质量进行考核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未在规定时间内报送自查自纠相关材料（包括：纸质和电子版）的，扣</w:t>
            </w:r>
            <w:r>
              <w:rPr>
                <w:rFonts w:hint="eastAsia" w:ascii="宋体" w:hAnsi="宋体" w:cs="宋体"/>
                <w:kern w:val="0"/>
                <w:sz w:val="20"/>
                <w:szCs w:val="20"/>
              </w:rPr>
              <w:t>0.5</w:t>
            </w:r>
            <w:r>
              <w:rPr>
                <w:rFonts w:hint="eastAsia" w:ascii="仿宋_GB2312" w:hAnsi="宋体" w:cs="宋体"/>
                <w:kern w:val="0"/>
                <w:sz w:val="20"/>
                <w:szCs w:val="20"/>
              </w:rPr>
              <w:t>分；报告内容不完整，扣</w:t>
            </w:r>
            <w:r>
              <w:rPr>
                <w:rFonts w:hint="eastAsia" w:ascii="宋体" w:hAnsi="宋体" w:cs="宋体"/>
                <w:kern w:val="0"/>
                <w:sz w:val="20"/>
                <w:szCs w:val="20"/>
              </w:rPr>
              <w:t>1</w:t>
            </w:r>
            <w:r>
              <w:rPr>
                <w:rFonts w:hint="eastAsia" w:ascii="仿宋_GB2312" w:hAnsi="宋体" w:cs="宋体"/>
                <w:kern w:val="0"/>
                <w:sz w:val="20"/>
                <w:szCs w:val="20"/>
              </w:rPr>
              <w:t>分；报表质量差（如：数据、逻辑、勾稽关系错误）等扣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48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重点检查发现违规违纪问题（</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根据检查组提供的工作底稿、检查报告等资料进行考核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专项检查发现的违纪违规问题，每个问题扣</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94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存在问题整改是否到位（</w:t>
            </w:r>
            <w:r>
              <w:rPr>
                <w:rFonts w:hint="eastAsia" w:ascii="宋体" w:hAnsi="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根据相关整改报告、凭证依据等相关证明材料进行考核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未在规定时间内完成整改，并提供相关证明材料的，每个问题</w:t>
            </w:r>
            <w:r>
              <w:rPr>
                <w:rFonts w:hint="eastAsia" w:ascii="宋体" w:hAnsi="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2</w:t>
            </w:r>
          </w:p>
        </w:tc>
      </w:tr>
      <w:tr>
        <w:trPr>
          <w:trHeight w:val="932"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整体效益（</w:t>
            </w:r>
            <w:r>
              <w:rPr>
                <w:rFonts w:hint="eastAsia" w:ascii="宋体" w:hAnsi="宋体" w:cs="宋体"/>
                <w:kern w:val="0"/>
                <w:sz w:val="20"/>
                <w:szCs w:val="20"/>
              </w:rPr>
              <w:t>30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部门整体绩效</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重点项目绩效评价结果（</w:t>
            </w:r>
            <w:r>
              <w:rPr>
                <w:rFonts w:hint="eastAsia" w:ascii="宋体" w:hAnsi="宋体" w:cs="宋体"/>
                <w:kern w:val="0"/>
                <w:sz w:val="20"/>
                <w:szCs w:val="20"/>
              </w:rPr>
              <w:t>10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部门实施重大项目的经济、社会效益</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根据财政局组织实施项目绩效评价结果换算</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p>
        </w:tc>
      </w:tr>
      <w:tr>
        <w:trPr>
          <w:trHeight w:val="226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cs="宋体"/>
                <w:kern w:val="0"/>
                <w:sz w:val="20"/>
                <w:szCs w:val="20"/>
              </w:rPr>
              <w:t>30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部门职能完成情况特性指标（</w:t>
            </w:r>
            <w:r>
              <w:rPr>
                <w:rFonts w:hint="eastAsia" w:ascii="宋体" w:hAnsi="宋体" w:cs="宋体"/>
                <w:kern w:val="0"/>
                <w:sz w:val="20"/>
                <w:szCs w:val="20"/>
              </w:rPr>
              <w:t>20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部门和评价组根据部门实际设置</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cs="宋体"/>
                <w:kern w:val="0"/>
                <w:sz w:val="24"/>
              </w:rPr>
            </w:pPr>
            <w:r>
              <w:rPr>
                <w:rFonts w:hint="eastAsia" w:ascii="宋体" w:hAnsi="宋体" w:cs="宋体"/>
                <w:kern w:val="0"/>
                <w:sz w:val="24"/>
              </w:rPr>
              <w:t>　18.5</w:t>
            </w:r>
          </w:p>
        </w:tc>
      </w:tr>
      <w:tr>
        <w:trPr>
          <w:trHeight w:val="1146" w:hRule="atLeast"/>
          <w:jc w:val="center"/>
        </w:trPr>
        <w:tc>
          <w:tcPr>
            <w:tcW w:w="9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b/>
                <w:bCs/>
                <w:kern w:val="0"/>
                <w:sz w:val="20"/>
                <w:szCs w:val="20"/>
              </w:rPr>
            </w:pPr>
            <w:r>
              <w:rPr>
                <w:rFonts w:hint="eastAsia" w:ascii="仿宋_GB2312"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hint="eastAsia" w:ascii="宋体" w:hAnsi="宋体" w:cs="宋体"/>
                <w:b/>
                <w:bCs/>
                <w:kern w:val="0"/>
                <w:sz w:val="20"/>
                <w:szCs w:val="20"/>
              </w:rPr>
              <w:t>/</w:t>
            </w:r>
            <w:r>
              <w:rPr>
                <w:rFonts w:hint="eastAsia" w:ascii="仿宋_GB2312" w:hAnsi="宋体" w:cs="宋体"/>
                <w:b/>
                <w:bCs/>
                <w:kern w:val="0"/>
                <w:sz w:val="20"/>
                <w:szCs w:val="20"/>
              </w:rPr>
              <w:t>（</w:t>
            </w:r>
            <w:r>
              <w:rPr>
                <w:rFonts w:hint="eastAsia" w:ascii="宋体" w:hAnsi="宋体" w:cs="宋体"/>
                <w:b/>
                <w:bCs/>
                <w:kern w:val="0"/>
                <w:sz w:val="20"/>
                <w:szCs w:val="20"/>
              </w:rPr>
              <w:t>100-</w:t>
            </w:r>
            <w:r>
              <w:rPr>
                <w:rFonts w:hint="eastAsia" w:ascii="仿宋_GB2312" w:hAnsi="宋体" w:cs="宋体"/>
                <w:b/>
                <w:bCs/>
                <w:kern w:val="0"/>
                <w:sz w:val="20"/>
                <w:szCs w:val="20"/>
              </w:rPr>
              <w:t>该评价内容或指标所占分值）</w:t>
            </w:r>
            <w:r>
              <w:rPr>
                <w:rFonts w:hint="eastAsia" w:ascii="宋体" w:hAnsi="宋体" w:cs="宋体"/>
                <w:b/>
                <w:bCs/>
                <w:kern w:val="0"/>
                <w:sz w:val="20"/>
                <w:szCs w:val="20"/>
              </w:rPr>
              <w:t>*100</w:t>
            </w:r>
            <w:r>
              <w:rPr>
                <w:rFonts w:hint="eastAsia" w:ascii="仿宋_GB2312" w:hAnsi="宋体" w:cs="宋体"/>
                <w:b/>
                <w:bCs/>
                <w:kern w:val="0"/>
                <w:sz w:val="20"/>
                <w:szCs w:val="20"/>
              </w:rPr>
              <w:t>。</w:t>
            </w:r>
          </w:p>
          <w:p>
            <w:pPr>
              <w:widowControl/>
              <w:spacing w:line="240" w:lineRule="exact"/>
              <w:jc w:val="left"/>
              <w:rPr>
                <w:rFonts w:ascii="宋体" w:hAnsi="宋体" w:cs="宋体"/>
                <w:kern w:val="0"/>
                <w:sz w:val="24"/>
              </w:rPr>
            </w:pPr>
            <w:r>
              <w:rPr>
                <w:rFonts w:hint="eastAsia" w:ascii="仿宋_GB2312" w:hAnsi="宋体" w:cs="宋体"/>
                <w:b/>
                <w:bCs/>
                <w:kern w:val="0"/>
                <w:sz w:val="20"/>
                <w:szCs w:val="20"/>
              </w:rPr>
              <w:t>得分：79.5分/81分=98.15分</w:t>
            </w:r>
          </w:p>
          <w:p>
            <w:pPr>
              <w:widowControl/>
              <w:spacing w:line="240" w:lineRule="exact"/>
              <w:jc w:val="left"/>
              <w:rPr>
                <w:rFonts w:ascii="宋体" w:hAnsi="宋体" w:cs="宋体"/>
                <w:kern w:val="0"/>
                <w:sz w:val="24"/>
              </w:rPr>
            </w:pPr>
          </w:p>
        </w:tc>
      </w:tr>
    </w:tbl>
    <w:p>
      <w:pPr>
        <w:widowControl/>
        <w:jc w:val="center"/>
        <w:rPr>
          <w:rFonts w:ascii="黑体" w:hAnsi="黑体" w:eastAsia="黑体"/>
          <w:color w:val="000000"/>
          <w:sz w:val="44"/>
          <w:szCs w:val="44"/>
        </w:rPr>
      </w:pPr>
      <w:bookmarkStart w:id="60" w:name="_Toc15396618"/>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rPr>
          <w:rFonts w:ascii="黑体" w:hAnsi="黑体" w:eastAsia="黑体"/>
          <w:color w:val="000000"/>
          <w:sz w:val="44"/>
          <w:szCs w:val="44"/>
        </w:rPr>
      </w:pPr>
    </w:p>
    <w:p>
      <w:pPr>
        <w:widowControl/>
        <w:jc w:val="center"/>
        <w:rPr>
          <w:rStyle w:val="17"/>
          <w:rFonts w:ascii="仿宋_GB2312" w:hAnsi="仿宋_GB2312" w:eastAsia="仿宋_GB2312" w:cs="仿宋_GB2312"/>
          <w:b w:val="0"/>
          <w:bCs w:val="0"/>
          <w:kern w:val="2"/>
          <w:sz w:val="32"/>
          <w:szCs w:val="32"/>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8"/>
      <w:bookmarkEnd w:id="60"/>
    </w:p>
    <w:p>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61"/>
    </w:p>
    <w:p>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62"/>
    </w:p>
    <w:p>
      <w:pPr>
        <w:pStyle w:val="3"/>
        <w:rPr>
          <w:rFonts w:ascii="仿宋" w:hAnsi="仿宋" w:eastAsia="仿宋"/>
          <w:color w:val="000000"/>
        </w:rPr>
      </w:pPr>
      <w:bookmarkStart w:id="63"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63"/>
    </w:p>
    <w:p>
      <w:pPr>
        <w:pStyle w:val="3"/>
        <w:rPr>
          <w:rFonts w:ascii="仿宋" w:hAnsi="仿宋" w:eastAsia="仿宋"/>
          <w:b w:val="0"/>
          <w:color w:val="000000"/>
        </w:rPr>
      </w:pPr>
      <w:bookmarkStart w:id="64"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4"/>
    </w:p>
    <w:p>
      <w:pPr>
        <w:pStyle w:val="3"/>
        <w:rPr>
          <w:rFonts w:ascii="仿宋" w:hAnsi="仿宋" w:eastAsia="仿宋"/>
          <w:color w:val="000000"/>
        </w:rPr>
      </w:pPr>
      <w:bookmarkStart w:id="65"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5"/>
    </w:p>
    <w:p>
      <w:pPr>
        <w:pStyle w:val="3"/>
        <w:rPr>
          <w:rFonts w:ascii="仿宋" w:hAnsi="仿宋" w:eastAsia="仿宋"/>
          <w:color w:val="000000"/>
        </w:rPr>
      </w:pPr>
      <w:bookmarkStart w:id="66"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6"/>
    </w:p>
    <w:p>
      <w:pPr>
        <w:pStyle w:val="3"/>
        <w:rPr>
          <w:rFonts w:ascii="仿宋" w:hAnsi="仿宋" w:eastAsia="仿宋"/>
          <w:color w:val="000000"/>
        </w:rPr>
      </w:pPr>
      <w:bookmarkStart w:id="67"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7"/>
    </w:p>
    <w:p>
      <w:pPr>
        <w:pStyle w:val="3"/>
        <w:rPr>
          <w:rFonts w:ascii="仿宋" w:hAnsi="仿宋" w:eastAsia="仿宋"/>
          <w:color w:val="000000"/>
        </w:rPr>
      </w:pPr>
      <w:bookmarkStart w:id="68"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8"/>
    </w:p>
    <w:p>
      <w:pPr>
        <w:pStyle w:val="3"/>
        <w:rPr>
          <w:rFonts w:ascii="仿宋" w:hAnsi="仿宋" w:eastAsia="仿宋"/>
          <w:color w:val="000000"/>
        </w:rPr>
      </w:pPr>
      <w:bookmarkStart w:id="69"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9"/>
    </w:p>
    <w:p>
      <w:pPr>
        <w:pStyle w:val="3"/>
        <w:rPr>
          <w:rFonts w:ascii="仿宋" w:hAnsi="仿宋" w:eastAsia="仿宋"/>
          <w:color w:val="000000"/>
        </w:rPr>
      </w:pPr>
      <w:bookmarkStart w:id="70"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70"/>
    </w:p>
    <w:p>
      <w:pPr>
        <w:pStyle w:val="3"/>
        <w:rPr>
          <w:rFonts w:ascii="仿宋" w:hAnsi="仿宋" w:eastAsia="仿宋"/>
          <w:color w:val="000000"/>
        </w:rPr>
      </w:pPr>
      <w:bookmarkStart w:id="71"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71"/>
    </w:p>
    <w:p>
      <w:pPr>
        <w:pStyle w:val="3"/>
        <w:rPr>
          <w:rFonts w:ascii="仿宋" w:hAnsi="仿宋" w:eastAsia="仿宋"/>
          <w:color w:val="000000"/>
        </w:rPr>
      </w:pPr>
      <w:bookmarkStart w:id="72"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72"/>
    </w:p>
    <w:p>
      <w:pPr>
        <w:pStyle w:val="3"/>
        <w:rPr>
          <w:rFonts w:ascii="仿宋" w:hAnsi="仿宋" w:eastAsia="仿宋"/>
          <w:color w:val="000000"/>
        </w:rPr>
      </w:pPr>
      <w:bookmarkStart w:id="73"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36</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373A"/>
    <w:rsid w:val="0002549F"/>
    <w:rsid w:val="00040D4A"/>
    <w:rsid w:val="00057AD3"/>
    <w:rsid w:val="0006487A"/>
    <w:rsid w:val="00065F8F"/>
    <w:rsid w:val="000768F2"/>
    <w:rsid w:val="0009184B"/>
    <w:rsid w:val="00095642"/>
    <w:rsid w:val="0009593C"/>
    <w:rsid w:val="000B047F"/>
    <w:rsid w:val="000B32AC"/>
    <w:rsid w:val="000B5923"/>
    <w:rsid w:val="000B5A48"/>
    <w:rsid w:val="000B6FF3"/>
    <w:rsid w:val="000C3467"/>
    <w:rsid w:val="000C3CA6"/>
    <w:rsid w:val="000D1267"/>
    <w:rsid w:val="000D1D50"/>
    <w:rsid w:val="000D5782"/>
    <w:rsid w:val="000D7A5F"/>
    <w:rsid w:val="000E6613"/>
    <w:rsid w:val="000E69F4"/>
    <w:rsid w:val="000E7119"/>
    <w:rsid w:val="000F789A"/>
    <w:rsid w:val="00114E9B"/>
    <w:rsid w:val="00123AE7"/>
    <w:rsid w:val="0013697A"/>
    <w:rsid w:val="0014729F"/>
    <w:rsid w:val="00157BAB"/>
    <w:rsid w:val="001637C4"/>
    <w:rsid w:val="001654D1"/>
    <w:rsid w:val="00167741"/>
    <w:rsid w:val="00175C67"/>
    <w:rsid w:val="0018106D"/>
    <w:rsid w:val="001877A7"/>
    <w:rsid w:val="00191536"/>
    <w:rsid w:val="00196687"/>
    <w:rsid w:val="001C0962"/>
    <w:rsid w:val="001C1238"/>
    <w:rsid w:val="001D7531"/>
    <w:rsid w:val="001E737D"/>
    <w:rsid w:val="001F0592"/>
    <w:rsid w:val="001F7506"/>
    <w:rsid w:val="002006CD"/>
    <w:rsid w:val="00202B36"/>
    <w:rsid w:val="00204B7A"/>
    <w:rsid w:val="0021101A"/>
    <w:rsid w:val="00211FF2"/>
    <w:rsid w:val="00220536"/>
    <w:rsid w:val="00235629"/>
    <w:rsid w:val="00244340"/>
    <w:rsid w:val="00260C38"/>
    <w:rsid w:val="002616C0"/>
    <w:rsid w:val="002662AA"/>
    <w:rsid w:val="0027120F"/>
    <w:rsid w:val="00275F9B"/>
    <w:rsid w:val="00280496"/>
    <w:rsid w:val="00295495"/>
    <w:rsid w:val="002B2613"/>
    <w:rsid w:val="002B46FF"/>
    <w:rsid w:val="002D29F8"/>
    <w:rsid w:val="002F0AE0"/>
    <w:rsid w:val="002F1818"/>
    <w:rsid w:val="002F567B"/>
    <w:rsid w:val="00320C02"/>
    <w:rsid w:val="003216A9"/>
    <w:rsid w:val="00360054"/>
    <w:rsid w:val="0037013F"/>
    <w:rsid w:val="00380C92"/>
    <w:rsid w:val="003A484F"/>
    <w:rsid w:val="003B0BE0"/>
    <w:rsid w:val="003B0C1B"/>
    <w:rsid w:val="003B40A8"/>
    <w:rsid w:val="003B688C"/>
    <w:rsid w:val="003C0291"/>
    <w:rsid w:val="003C39AE"/>
    <w:rsid w:val="003C5E28"/>
    <w:rsid w:val="003C7B60"/>
    <w:rsid w:val="003D1FB2"/>
    <w:rsid w:val="003D66DA"/>
    <w:rsid w:val="003E1310"/>
    <w:rsid w:val="003E6F55"/>
    <w:rsid w:val="00402DBF"/>
    <w:rsid w:val="00406254"/>
    <w:rsid w:val="004223DE"/>
    <w:rsid w:val="00434489"/>
    <w:rsid w:val="00436D83"/>
    <w:rsid w:val="00437085"/>
    <w:rsid w:val="00443880"/>
    <w:rsid w:val="004464F4"/>
    <w:rsid w:val="00447409"/>
    <w:rsid w:val="00471401"/>
    <w:rsid w:val="00473F31"/>
    <w:rsid w:val="0048263A"/>
    <w:rsid w:val="00487E5D"/>
    <w:rsid w:val="004A177F"/>
    <w:rsid w:val="004A711F"/>
    <w:rsid w:val="004B199D"/>
    <w:rsid w:val="004B4690"/>
    <w:rsid w:val="004D070E"/>
    <w:rsid w:val="004D2844"/>
    <w:rsid w:val="004E0A2D"/>
    <w:rsid w:val="004E206B"/>
    <w:rsid w:val="004E6DF7"/>
    <w:rsid w:val="004F0FBD"/>
    <w:rsid w:val="004F6C21"/>
    <w:rsid w:val="00504BE6"/>
    <w:rsid w:val="00505A47"/>
    <w:rsid w:val="00512FDA"/>
    <w:rsid w:val="00520DA0"/>
    <w:rsid w:val="00523478"/>
    <w:rsid w:val="00554F8E"/>
    <w:rsid w:val="005664BB"/>
    <w:rsid w:val="0057481D"/>
    <w:rsid w:val="0058486E"/>
    <w:rsid w:val="0058642D"/>
    <w:rsid w:val="00597E59"/>
    <w:rsid w:val="005A30A5"/>
    <w:rsid w:val="005B1CE8"/>
    <w:rsid w:val="005D1C8B"/>
    <w:rsid w:val="005D5CED"/>
    <w:rsid w:val="005E0018"/>
    <w:rsid w:val="005E18A1"/>
    <w:rsid w:val="005F1A4C"/>
    <w:rsid w:val="005F555B"/>
    <w:rsid w:val="00600089"/>
    <w:rsid w:val="0060385E"/>
    <w:rsid w:val="00605688"/>
    <w:rsid w:val="006070AF"/>
    <w:rsid w:val="00607E6C"/>
    <w:rsid w:val="006101B1"/>
    <w:rsid w:val="00612609"/>
    <w:rsid w:val="00612C48"/>
    <w:rsid w:val="00614E44"/>
    <w:rsid w:val="00622830"/>
    <w:rsid w:val="00630AEF"/>
    <w:rsid w:val="006325F8"/>
    <w:rsid w:val="00632CAB"/>
    <w:rsid w:val="00633CF7"/>
    <w:rsid w:val="00634C9A"/>
    <w:rsid w:val="00637ADD"/>
    <w:rsid w:val="006440E4"/>
    <w:rsid w:val="0066343B"/>
    <w:rsid w:val="00664777"/>
    <w:rsid w:val="006748A4"/>
    <w:rsid w:val="00681F6B"/>
    <w:rsid w:val="00683E73"/>
    <w:rsid w:val="00683EB3"/>
    <w:rsid w:val="00684148"/>
    <w:rsid w:val="00690643"/>
    <w:rsid w:val="00695989"/>
    <w:rsid w:val="006A3141"/>
    <w:rsid w:val="006A5E34"/>
    <w:rsid w:val="006B2422"/>
    <w:rsid w:val="006B2B9A"/>
    <w:rsid w:val="006C0810"/>
    <w:rsid w:val="006C1937"/>
    <w:rsid w:val="006D1B72"/>
    <w:rsid w:val="006F020C"/>
    <w:rsid w:val="00710DD3"/>
    <w:rsid w:val="007127B7"/>
    <w:rsid w:val="00714000"/>
    <w:rsid w:val="00715567"/>
    <w:rsid w:val="007416B6"/>
    <w:rsid w:val="00746F48"/>
    <w:rsid w:val="0075404D"/>
    <w:rsid w:val="007578C4"/>
    <w:rsid w:val="0076182A"/>
    <w:rsid w:val="00764729"/>
    <w:rsid w:val="00767B7E"/>
    <w:rsid w:val="007770C3"/>
    <w:rsid w:val="00784D24"/>
    <w:rsid w:val="00785FBA"/>
    <w:rsid w:val="0078631F"/>
    <w:rsid w:val="00786E4A"/>
    <w:rsid w:val="007875EB"/>
    <w:rsid w:val="007929E7"/>
    <w:rsid w:val="0079426B"/>
    <w:rsid w:val="007C182A"/>
    <w:rsid w:val="007D312A"/>
    <w:rsid w:val="007D3F19"/>
    <w:rsid w:val="007E23B0"/>
    <w:rsid w:val="007F1991"/>
    <w:rsid w:val="007F2C2F"/>
    <w:rsid w:val="007F55FC"/>
    <w:rsid w:val="007F5665"/>
    <w:rsid w:val="00800112"/>
    <w:rsid w:val="008041AB"/>
    <w:rsid w:val="00815DF0"/>
    <w:rsid w:val="008253BB"/>
    <w:rsid w:val="0083146C"/>
    <w:rsid w:val="00833EC3"/>
    <w:rsid w:val="00836BFE"/>
    <w:rsid w:val="0083706E"/>
    <w:rsid w:val="00841B14"/>
    <w:rsid w:val="008423A5"/>
    <w:rsid w:val="00845576"/>
    <w:rsid w:val="00850625"/>
    <w:rsid w:val="00853718"/>
    <w:rsid w:val="0085400F"/>
    <w:rsid w:val="00855221"/>
    <w:rsid w:val="00860645"/>
    <w:rsid w:val="008703C9"/>
    <w:rsid w:val="00871F71"/>
    <w:rsid w:val="00885AF4"/>
    <w:rsid w:val="008939CD"/>
    <w:rsid w:val="0089452E"/>
    <w:rsid w:val="008A3E5E"/>
    <w:rsid w:val="008A4F4C"/>
    <w:rsid w:val="008B768C"/>
    <w:rsid w:val="008C2507"/>
    <w:rsid w:val="008C4DB1"/>
    <w:rsid w:val="008C4EAF"/>
    <w:rsid w:val="008C5176"/>
    <w:rsid w:val="008C7FD0"/>
    <w:rsid w:val="008E1DE7"/>
    <w:rsid w:val="008E707C"/>
    <w:rsid w:val="00900B08"/>
    <w:rsid w:val="00902155"/>
    <w:rsid w:val="00902FA3"/>
    <w:rsid w:val="0091514E"/>
    <w:rsid w:val="00923564"/>
    <w:rsid w:val="0092392E"/>
    <w:rsid w:val="009315F9"/>
    <w:rsid w:val="00942F7F"/>
    <w:rsid w:val="00946945"/>
    <w:rsid w:val="00951248"/>
    <w:rsid w:val="0095152F"/>
    <w:rsid w:val="00954C49"/>
    <w:rsid w:val="0097099F"/>
    <w:rsid w:val="00971997"/>
    <w:rsid w:val="00971FFC"/>
    <w:rsid w:val="00982421"/>
    <w:rsid w:val="0098660A"/>
    <w:rsid w:val="009931C3"/>
    <w:rsid w:val="009B2C43"/>
    <w:rsid w:val="009B4EAE"/>
    <w:rsid w:val="009B654D"/>
    <w:rsid w:val="009B7573"/>
    <w:rsid w:val="009C22F4"/>
    <w:rsid w:val="009C2E98"/>
    <w:rsid w:val="009C6BFE"/>
    <w:rsid w:val="009D3447"/>
    <w:rsid w:val="009D4711"/>
    <w:rsid w:val="009F1185"/>
    <w:rsid w:val="009F18CD"/>
    <w:rsid w:val="009F2A13"/>
    <w:rsid w:val="00A001DE"/>
    <w:rsid w:val="00A00FCD"/>
    <w:rsid w:val="00A04EB0"/>
    <w:rsid w:val="00A13CC1"/>
    <w:rsid w:val="00A16847"/>
    <w:rsid w:val="00A2346F"/>
    <w:rsid w:val="00A237D8"/>
    <w:rsid w:val="00A268C4"/>
    <w:rsid w:val="00A307CD"/>
    <w:rsid w:val="00A40A00"/>
    <w:rsid w:val="00A4142F"/>
    <w:rsid w:val="00A55EE6"/>
    <w:rsid w:val="00A56DF2"/>
    <w:rsid w:val="00A67142"/>
    <w:rsid w:val="00A67AB5"/>
    <w:rsid w:val="00A91760"/>
    <w:rsid w:val="00A93B00"/>
    <w:rsid w:val="00A93C21"/>
    <w:rsid w:val="00AC3C6A"/>
    <w:rsid w:val="00AD5620"/>
    <w:rsid w:val="00AD7C1B"/>
    <w:rsid w:val="00AE11B2"/>
    <w:rsid w:val="00AE16BA"/>
    <w:rsid w:val="00AE1EBE"/>
    <w:rsid w:val="00AF769B"/>
    <w:rsid w:val="00B01844"/>
    <w:rsid w:val="00B03C9D"/>
    <w:rsid w:val="00B060AE"/>
    <w:rsid w:val="00B10517"/>
    <w:rsid w:val="00B14E76"/>
    <w:rsid w:val="00B161B8"/>
    <w:rsid w:val="00B17141"/>
    <w:rsid w:val="00B2048C"/>
    <w:rsid w:val="00B310B9"/>
    <w:rsid w:val="00B35F3F"/>
    <w:rsid w:val="00B36CBB"/>
    <w:rsid w:val="00B425E0"/>
    <w:rsid w:val="00B440AA"/>
    <w:rsid w:val="00B44B70"/>
    <w:rsid w:val="00B53C56"/>
    <w:rsid w:val="00B77EA6"/>
    <w:rsid w:val="00B81598"/>
    <w:rsid w:val="00B841F1"/>
    <w:rsid w:val="00B85B85"/>
    <w:rsid w:val="00B944D6"/>
    <w:rsid w:val="00BB01E0"/>
    <w:rsid w:val="00BB4DF0"/>
    <w:rsid w:val="00BC289F"/>
    <w:rsid w:val="00BC39D6"/>
    <w:rsid w:val="00BC5361"/>
    <w:rsid w:val="00BC5460"/>
    <w:rsid w:val="00BC6B50"/>
    <w:rsid w:val="00BD0E25"/>
    <w:rsid w:val="00BF5BD6"/>
    <w:rsid w:val="00C03E31"/>
    <w:rsid w:val="00C33E72"/>
    <w:rsid w:val="00C354B2"/>
    <w:rsid w:val="00C35554"/>
    <w:rsid w:val="00C42709"/>
    <w:rsid w:val="00C51340"/>
    <w:rsid w:val="00C533CC"/>
    <w:rsid w:val="00C54674"/>
    <w:rsid w:val="00C56A4F"/>
    <w:rsid w:val="00C5751C"/>
    <w:rsid w:val="00C61A6A"/>
    <w:rsid w:val="00C61BFC"/>
    <w:rsid w:val="00C6282C"/>
    <w:rsid w:val="00C62B85"/>
    <w:rsid w:val="00C65438"/>
    <w:rsid w:val="00C91CBB"/>
    <w:rsid w:val="00C92DA5"/>
    <w:rsid w:val="00C965B0"/>
    <w:rsid w:val="00C96A89"/>
    <w:rsid w:val="00CA6BB1"/>
    <w:rsid w:val="00CA79C3"/>
    <w:rsid w:val="00CC09B6"/>
    <w:rsid w:val="00CC666F"/>
    <w:rsid w:val="00CC78AD"/>
    <w:rsid w:val="00CD0000"/>
    <w:rsid w:val="00CD1E3F"/>
    <w:rsid w:val="00CD6079"/>
    <w:rsid w:val="00CE44F6"/>
    <w:rsid w:val="00CE49DA"/>
    <w:rsid w:val="00CE73FB"/>
    <w:rsid w:val="00CE7B61"/>
    <w:rsid w:val="00D00095"/>
    <w:rsid w:val="00D20620"/>
    <w:rsid w:val="00D26091"/>
    <w:rsid w:val="00D34E7C"/>
    <w:rsid w:val="00D35489"/>
    <w:rsid w:val="00D461ED"/>
    <w:rsid w:val="00D50F54"/>
    <w:rsid w:val="00D51276"/>
    <w:rsid w:val="00D51E81"/>
    <w:rsid w:val="00D54D16"/>
    <w:rsid w:val="00D7035F"/>
    <w:rsid w:val="00D868A3"/>
    <w:rsid w:val="00D97BF1"/>
    <w:rsid w:val="00DA65AC"/>
    <w:rsid w:val="00DB0F51"/>
    <w:rsid w:val="00DB1913"/>
    <w:rsid w:val="00DC17DA"/>
    <w:rsid w:val="00DC410D"/>
    <w:rsid w:val="00DC68CA"/>
    <w:rsid w:val="00DC7CBA"/>
    <w:rsid w:val="00DD73B7"/>
    <w:rsid w:val="00DE0959"/>
    <w:rsid w:val="00DE1FE7"/>
    <w:rsid w:val="00DE7332"/>
    <w:rsid w:val="00DF28BC"/>
    <w:rsid w:val="00DF34B9"/>
    <w:rsid w:val="00DF50D8"/>
    <w:rsid w:val="00E01053"/>
    <w:rsid w:val="00E07ACF"/>
    <w:rsid w:val="00E162EB"/>
    <w:rsid w:val="00E176AF"/>
    <w:rsid w:val="00E276FD"/>
    <w:rsid w:val="00E331A1"/>
    <w:rsid w:val="00E33202"/>
    <w:rsid w:val="00E336A9"/>
    <w:rsid w:val="00E4249C"/>
    <w:rsid w:val="00E47D52"/>
    <w:rsid w:val="00E5028A"/>
    <w:rsid w:val="00E50624"/>
    <w:rsid w:val="00E55359"/>
    <w:rsid w:val="00E568DF"/>
    <w:rsid w:val="00E64269"/>
    <w:rsid w:val="00E67009"/>
    <w:rsid w:val="00E710BA"/>
    <w:rsid w:val="00E74D20"/>
    <w:rsid w:val="00E81F71"/>
    <w:rsid w:val="00E82267"/>
    <w:rsid w:val="00EA010F"/>
    <w:rsid w:val="00EC5058"/>
    <w:rsid w:val="00ED1B63"/>
    <w:rsid w:val="00ED3C1F"/>
    <w:rsid w:val="00ED4085"/>
    <w:rsid w:val="00ED420E"/>
    <w:rsid w:val="00EE2F57"/>
    <w:rsid w:val="00EE51B2"/>
    <w:rsid w:val="00EF4C34"/>
    <w:rsid w:val="00EF77C6"/>
    <w:rsid w:val="00F05438"/>
    <w:rsid w:val="00F06E82"/>
    <w:rsid w:val="00F1361C"/>
    <w:rsid w:val="00F160C7"/>
    <w:rsid w:val="00F22E6D"/>
    <w:rsid w:val="00F36D8F"/>
    <w:rsid w:val="00F417B1"/>
    <w:rsid w:val="00F602DF"/>
    <w:rsid w:val="00F76344"/>
    <w:rsid w:val="00F81FD9"/>
    <w:rsid w:val="00F841AA"/>
    <w:rsid w:val="00FA23E8"/>
    <w:rsid w:val="00FC0E5E"/>
    <w:rsid w:val="00FD13FC"/>
    <w:rsid w:val="00FD3CC1"/>
    <w:rsid w:val="00FE5021"/>
    <w:rsid w:val="00FF1E02"/>
    <w:rsid w:val="00FF30B4"/>
    <w:rsid w:val="10C055FF"/>
    <w:rsid w:val="16BB723D"/>
    <w:rsid w:val="240371BF"/>
    <w:rsid w:val="29FD04D3"/>
    <w:rsid w:val="319F7F4E"/>
    <w:rsid w:val="76DFA3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9"/>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rPr>
      <w:rFonts w:ascii="仿宋" w:hAnsi="仿宋" w:eastAsia="仿宋"/>
      <w:sz w:val="28"/>
      <w:szCs w:val="28"/>
    </w:rPr>
  </w:style>
  <w:style w:type="character" w:styleId="14">
    <w:name w:val="Strong"/>
    <w:basedOn w:val="13"/>
    <w:qFormat/>
    <w:uiPriority w:val="0"/>
    <w:rPr>
      <w:rFonts w:cs="Times New Roman"/>
      <w:b/>
    </w:rPr>
  </w:style>
  <w:style w:type="character" w:styleId="15">
    <w:name w:val="Emphasis"/>
    <w:basedOn w:val="13"/>
    <w:qFormat/>
    <w:locked/>
    <w:uiPriority w:val="20"/>
  </w:style>
  <w:style w:type="character" w:styleId="16">
    <w:name w:val="Hyperlink"/>
    <w:basedOn w:val="13"/>
    <w:qFormat/>
    <w:uiPriority w:val="99"/>
    <w:rPr>
      <w:rFonts w:cs="Times New Roman"/>
      <w:color w:val="0000FF"/>
      <w:u w:val="single"/>
    </w:rPr>
  </w:style>
  <w:style w:type="character" w:customStyle="1" w:styleId="17">
    <w:name w:val="标题 1 Char"/>
    <w:basedOn w:val="13"/>
    <w:link w:val="2"/>
    <w:qFormat/>
    <w:locked/>
    <w:uiPriority w:val="99"/>
    <w:rPr>
      <w:rFonts w:ascii="Times New Roman" w:hAnsi="Times New Roman" w:cs="Times New Roman"/>
      <w:b/>
      <w:bCs/>
      <w:kern w:val="44"/>
      <w:sz w:val="44"/>
      <w:szCs w:val="44"/>
    </w:rPr>
  </w:style>
  <w:style w:type="character" w:customStyle="1" w:styleId="18">
    <w:name w:val="标题 2 Char"/>
    <w:basedOn w:val="13"/>
    <w:link w:val="3"/>
    <w:qFormat/>
    <w:locked/>
    <w:uiPriority w:val="99"/>
    <w:rPr>
      <w:rFonts w:ascii="Cambria" w:hAnsi="Cambria" w:eastAsia="宋体" w:cs="Times New Roman"/>
      <w:b/>
      <w:bCs/>
      <w:kern w:val="2"/>
      <w:sz w:val="32"/>
      <w:szCs w:val="32"/>
    </w:rPr>
  </w:style>
  <w:style w:type="character" w:customStyle="1" w:styleId="19">
    <w:name w:val="标题 3 Char"/>
    <w:basedOn w:val="13"/>
    <w:link w:val="4"/>
    <w:qFormat/>
    <w:locked/>
    <w:uiPriority w:val="99"/>
    <w:rPr>
      <w:rFonts w:ascii="Times New Roman" w:hAnsi="Times New Roman" w:cs="Times New Roman"/>
      <w:b/>
      <w:bCs/>
      <w:kern w:val="2"/>
      <w:sz w:val="32"/>
      <w:szCs w:val="32"/>
    </w:rPr>
  </w:style>
  <w:style w:type="character" w:customStyle="1" w:styleId="20">
    <w:name w:val="Body Text Char"/>
    <w:basedOn w:val="13"/>
    <w:link w:val="5"/>
    <w:semiHidden/>
    <w:qFormat/>
    <w:locked/>
    <w:uiPriority w:val="99"/>
    <w:rPr>
      <w:rFonts w:ascii="Times New Roman" w:hAnsi="Times New Roman" w:cs="Times New Roman"/>
      <w:sz w:val="24"/>
      <w:szCs w:val="24"/>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3"/>
    <w:link w:val="7"/>
    <w:semiHidden/>
    <w:qFormat/>
    <w:locked/>
    <w:uiPriority w:val="99"/>
    <w:rPr>
      <w:rFonts w:ascii="Times New Roman" w:hAnsi="Times New Roman" w:cs="Times New Roman"/>
      <w:kern w:val="2"/>
      <w:sz w:val="18"/>
      <w:szCs w:val="18"/>
    </w:rPr>
  </w:style>
  <w:style w:type="paragraph" w:customStyle="1" w:styleId="3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2017年</c:v>
                </c:pt>
                <c:pt idx="1">
                  <c:v>2018年</c:v>
                </c:pt>
              </c:strCache>
            </c:strRef>
          </c:cat>
          <c:val>
            <c:numRef>
              <c:f>Sheet1!$B$2:$B$3</c:f>
              <c:numCache>
                <c:formatCode>General</c:formatCode>
                <c:ptCount val="2"/>
                <c:pt idx="0">
                  <c:v>9675.68</c:v>
                </c:pt>
                <c:pt idx="1">
                  <c:v>10549.58</c:v>
                </c:pt>
              </c:numCache>
            </c:numRef>
          </c:val>
        </c:ser>
        <c:dLbls>
          <c:showLegendKey val="false"/>
          <c:showVal val="true"/>
          <c:showCatName val="false"/>
          <c:showSerName val="false"/>
          <c:showPercent val="false"/>
          <c:showBubbleSize val="false"/>
        </c:dLbls>
        <c:gapWidth val="150"/>
        <c:axId val="132614784"/>
        <c:axId val="132621440"/>
      </c:barChart>
      <c:catAx>
        <c:axId val="13261478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21440"/>
        <c:crosses val="autoZero"/>
        <c:auto val="true"/>
        <c:lblAlgn val="ctr"/>
        <c:lblOffset val="100"/>
        <c:noMultiLvlLbl val="false"/>
      </c:catAx>
      <c:valAx>
        <c:axId val="132621440"/>
        <c:scaling>
          <c:orientation val="minMax"/>
        </c:scaling>
        <c:delete val="true"/>
        <c:axPos val="l"/>
        <c:numFmt formatCode="General" sourceLinked="true"/>
        <c:majorTickMark val="out"/>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14784"/>
        <c:crosses val="autoZero"/>
        <c:crossBetween val="between"/>
        <c:majorUnit val="1000"/>
      </c:valAx>
    </c:plotArea>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0.8415</c:v>
                </c:pt>
                <c:pt idx="1">
                  <c:v>0.1585</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46009460681823"/>
          <c:y val="0.33180030696855"/>
          <c:w val="0.345425231761387"/>
          <c:h val="0.43529331560827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0%</c:formatCode>
                <c:ptCount val="2"/>
                <c:pt idx="0">
                  <c:v>0.68</c:v>
                </c:pt>
                <c:pt idx="1">
                  <c:v>0.320000000000001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2017年</c:v>
                </c:pt>
                <c:pt idx="1">
                  <c:v>2018年</c:v>
                </c:pt>
              </c:strCache>
            </c:strRef>
          </c:cat>
          <c:val>
            <c:numRef>
              <c:f>Sheet1!$B$2:$B$3</c:f>
              <c:numCache>
                <c:formatCode>General</c:formatCode>
                <c:ptCount val="2"/>
                <c:pt idx="0">
                  <c:v>1820.92</c:v>
                </c:pt>
                <c:pt idx="1">
                  <c:v>2936.44</c:v>
                </c:pt>
              </c:numCache>
            </c:numRef>
          </c:val>
        </c:ser>
        <c:dLbls>
          <c:showLegendKey val="false"/>
          <c:showVal val="true"/>
          <c:showCatName val="false"/>
          <c:showSerName val="false"/>
          <c:showPercent val="false"/>
          <c:showBubbleSize val="false"/>
        </c:dLbls>
        <c:gapWidth val="150"/>
        <c:axId val="134064384"/>
        <c:axId val="134074368"/>
      </c:barChart>
      <c:catAx>
        <c:axId val="13406438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074368"/>
        <c:crosses val="autoZero"/>
        <c:auto val="true"/>
        <c:lblAlgn val="ctr"/>
        <c:lblOffset val="100"/>
        <c:noMultiLvlLbl val="false"/>
      </c:catAx>
      <c:valAx>
        <c:axId val="134074368"/>
        <c:scaling>
          <c:orientation val="minMax"/>
        </c:scaling>
        <c:delete val="true"/>
        <c:axPos val="l"/>
        <c:numFmt formatCode="General" sourceLinked="true"/>
        <c:majorTickMark val="out"/>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064384"/>
        <c:crosses val="autoZero"/>
        <c:crossBetween val="between"/>
      </c:valAx>
      <c:spPr>
        <a:noFill/>
        <a:ln w="25400">
          <a:noFill/>
        </a:ln>
      </c:spPr>
    </c:plotArea>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288947748615459"/>
          <c:y val="0.066047471620227"/>
          <c:w val="0.902522348257868"/>
          <c:h val="0.803894129570438"/>
        </c:manualLayout>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2017年</c:v>
                </c:pt>
                <c:pt idx="1">
                  <c:v>2018年</c:v>
                </c:pt>
              </c:strCache>
            </c:strRef>
          </c:cat>
          <c:val>
            <c:numRef>
              <c:f>Sheet1!$B$2:$B$3</c:f>
              <c:numCache>
                <c:formatCode>General</c:formatCode>
                <c:ptCount val="2"/>
                <c:pt idx="0">
                  <c:v>1794.25</c:v>
                </c:pt>
                <c:pt idx="1">
                  <c:v>2643.59</c:v>
                </c:pt>
              </c:numCache>
            </c:numRef>
          </c:val>
        </c:ser>
        <c:dLbls>
          <c:showLegendKey val="false"/>
          <c:showVal val="true"/>
          <c:showCatName val="false"/>
          <c:showSerName val="false"/>
          <c:showPercent val="false"/>
          <c:showBubbleSize val="false"/>
        </c:dLbls>
        <c:gapWidth val="150"/>
        <c:axId val="134081536"/>
        <c:axId val="134124288"/>
      </c:barChart>
      <c:catAx>
        <c:axId val="13408153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124288"/>
        <c:crosses val="autoZero"/>
        <c:auto val="true"/>
        <c:lblAlgn val="ctr"/>
        <c:lblOffset val="100"/>
        <c:noMultiLvlLbl val="false"/>
      </c:catAx>
      <c:valAx>
        <c:axId val="134124288"/>
        <c:scaling>
          <c:orientation val="minMax"/>
        </c:scaling>
        <c:delete val="true"/>
        <c:axPos val="l"/>
        <c:numFmt formatCode="General" sourceLinked="true"/>
        <c:majorTickMark val="out"/>
        <c:minorTickMark val="none"/>
        <c:tickLblPos val="none"/>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4081536"/>
        <c:crosses val="autoZero"/>
        <c:crossBetween val="between"/>
      </c:valAx>
      <c:spPr>
        <a:noFill/>
        <a:ln w="25400">
          <a:noFill/>
        </a:ln>
      </c:spPr>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7361769352294"/>
          <c:y val="0.0893997445721584"/>
          <c:w val="0.430379251198028"/>
          <c:h val="0.679590566094012"/>
        </c:manualLayout>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Pt>
            <c:idx val="3"/>
            <c:bubble3D val="false"/>
          </c:dPt>
          <c:dPt>
            <c:idx val="4"/>
            <c:bubble3D val="false"/>
          </c:dPt>
          <c:dPt>
            <c:idx val="5"/>
            <c:bubble3D val="false"/>
          </c:dPt>
          <c:dPt>
            <c:idx val="6"/>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Sheet1!$A$2:$A$8</c:f>
              <c:strCache>
                <c:ptCount val="7"/>
                <c:pt idx="0">
                  <c:v>一般公共服务支出</c:v>
                </c:pt>
                <c:pt idx="1">
                  <c:v>社会保障和就业支出</c:v>
                </c:pt>
                <c:pt idx="2">
                  <c:v>医疗卫生支出</c:v>
                </c:pt>
                <c:pt idx="3">
                  <c:v>农林水支出</c:v>
                </c:pt>
                <c:pt idx="4">
                  <c:v>交通运输支出</c:v>
                </c:pt>
                <c:pt idx="5">
                  <c:v>住房保障支出</c:v>
                </c:pt>
                <c:pt idx="6">
                  <c:v>其他支出</c:v>
                </c:pt>
              </c:strCache>
            </c:strRef>
          </c:cat>
          <c:val>
            <c:numRef>
              <c:f>Sheet1!$B$2:$B$8</c:f>
              <c:numCache>
                <c:formatCode>0.00%</c:formatCode>
                <c:ptCount val="7"/>
                <c:pt idx="0">
                  <c:v>0.665700000000001</c:v>
                </c:pt>
                <c:pt idx="1">
                  <c:v>0.0542</c:v>
                </c:pt>
                <c:pt idx="2">
                  <c:v>0.0199</c:v>
                </c:pt>
                <c:pt idx="3">
                  <c:v>0.003</c:v>
                </c:pt>
                <c:pt idx="4">
                  <c:v>0.1135</c:v>
                </c:pt>
                <c:pt idx="5">
                  <c:v>0.0451</c:v>
                </c:pt>
                <c:pt idx="6">
                  <c:v>0.099</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公务用车购置及运行维护费支出</c:v>
                </c:pt>
                <c:pt idx="1">
                  <c:v>公务接待费支出</c:v>
                </c:pt>
              </c:strCache>
            </c:strRef>
          </c:cat>
          <c:val>
            <c:numRef>
              <c:f>Sheet1!$B$2:$B$3</c:f>
              <c:numCache>
                <c:formatCode>0.00%</c:formatCode>
                <c:ptCount val="2"/>
                <c:pt idx="0">
                  <c:v>0.5202</c:v>
                </c:pt>
                <c:pt idx="1">
                  <c:v>0.479800000000001</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2837</Words>
  <Characters>16172</Characters>
  <Lines>134</Lines>
  <Paragraphs>37</Paragraphs>
  <TotalTime>144</TotalTime>
  <ScaleCrop>false</ScaleCrop>
  <LinksUpToDate>false</LinksUpToDate>
  <CharactersWithSpaces>18972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2019-09-13T15:59:00Z</dcterms:created>
  <dc:creator>张彬茜</dc:creator>
  <cp:lastModifiedBy>魅若影</cp:lastModifiedBy>
  <cp:lastPrinted>2019-09-16T10:24:00Z</cp:lastPrinted>
  <dcterms:modified xsi:type="dcterms:W3CDTF">2022-02-07T11:28:11Z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