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p>
    <w:p>
      <w:pPr>
        <w:spacing w:line="7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遂宁市发展和改革委员会</w:t>
      </w:r>
    </w:p>
    <w:p>
      <w:pPr>
        <w:spacing w:line="700" w:lineRule="exact"/>
        <w:jc w:val="center"/>
        <w:rPr>
          <w:rFonts w:ascii="Times New Roman" w:hAnsi="Times New Roman" w:eastAsia="方正小标宋简体"/>
          <w:sz w:val="44"/>
          <w:szCs w:val="44"/>
        </w:rPr>
      </w:pPr>
      <w:r>
        <w:rPr>
          <w:rFonts w:ascii="Times New Roman" w:hAnsi="Times New Roman" w:eastAsia="方正小标宋简体"/>
          <w:sz w:val="44"/>
          <w:szCs w:val="44"/>
        </w:rPr>
        <w:t>201</w:t>
      </w:r>
      <w:r>
        <w:rPr>
          <w:rFonts w:hint="eastAsia" w:ascii="Times New Roman" w:hAnsi="Times New Roman" w:eastAsia="方正小标宋简体"/>
          <w:sz w:val="44"/>
          <w:szCs w:val="44"/>
        </w:rPr>
        <w:t>7</w:t>
      </w:r>
      <w:r>
        <w:rPr>
          <w:rFonts w:ascii="Times New Roman" w:hAnsi="Times New Roman" w:eastAsia="方正小标宋简体"/>
          <w:sz w:val="44"/>
          <w:szCs w:val="44"/>
        </w:rPr>
        <w:t>年部门决算编制说明</w:t>
      </w:r>
    </w:p>
    <w:p>
      <w:pPr>
        <w:spacing w:line="600" w:lineRule="exact"/>
        <w:ind w:firstLine="640" w:firstLineChars="200"/>
        <w:rPr>
          <w:rFonts w:ascii="黑体" w:eastAsia="黑体"/>
          <w:color w:val="000000"/>
        </w:rPr>
      </w:pPr>
    </w:p>
    <w:p>
      <w:pPr>
        <w:spacing w:line="600" w:lineRule="exact"/>
        <w:ind w:firstLine="640" w:firstLineChars="200"/>
        <w:rPr>
          <w:rFonts w:ascii="黑体" w:eastAsia="黑体"/>
          <w:color w:val="000000"/>
        </w:rPr>
      </w:pPr>
      <w:r>
        <w:rPr>
          <w:rFonts w:hint="eastAsia" w:ascii="黑体" w:eastAsia="黑体"/>
          <w:color w:val="000000"/>
        </w:rPr>
        <w:t>一、基本职能及主要工作</w:t>
      </w:r>
    </w:p>
    <w:p>
      <w:pPr>
        <w:pStyle w:val="2"/>
        <w:adjustRightInd w:val="0"/>
        <w:snapToGrid w:val="0"/>
        <w:spacing w:before="93" w:line="600" w:lineRule="exact"/>
        <w:ind w:firstLine="672" w:firstLineChars="210"/>
        <w:rPr>
          <w:rFonts w:ascii="仿宋" w:hAnsi="仿宋" w:eastAsia="仿宋"/>
          <w:bCs/>
          <w:color w:val="000000"/>
          <w:sz w:val="32"/>
          <w:szCs w:val="32"/>
        </w:rPr>
      </w:pPr>
      <w:r>
        <w:rPr>
          <w:rFonts w:hint="eastAsia" w:ascii="仿宋" w:hAnsi="仿宋" w:eastAsia="仿宋"/>
          <w:bCs/>
          <w:color w:val="000000"/>
          <w:sz w:val="32"/>
          <w:szCs w:val="32"/>
        </w:rPr>
        <w:t>（一）主要职能。</w:t>
      </w:r>
    </w:p>
    <w:p>
      <w:pPr>
        <w:spacing w:line="560" w:lineRule="exact"/>
        <w:ind w:firstLine="640" w:firstLineChars="200"/>
        <w:rPr>
          <w:rFonts w:ascii="仿宋" w:hAnsi="仿宋" w:eastAsia="仿宋"/>
        </w:rPr>
      </w:pPr>
      <w:r>
        <w:rPr>
          <w:rFonts w:hint="eastAsia" w:ascii="仿宋" w:hAnsi="仿宋" w:eastAsia="仿宋"/>
        </w:rPr>
        <w:t>根据《遂宁市人民政府办公室关于印发遂宁市发展和改革委员会主要职责内设机构和人员编制规定的通知》（遂府办发</w:t>
      </w:r>
      <w:r>
        <w:rPr>
          <w:rFonts w:hint="eastAsia" w:ascii="仿宋" w:hAnsi="仿宋" w:eastAsia="仿宋" w:cs="宋体"/>
        </w:rPr>
        <w:t>〔</w:t>
      </w:r>
      <w:r>
        <w:rPr>
          <w:rFonts w:hint="eastAsia" w:ascii="仿宋" w:hAnsi="仿宋" w:eastAsia="仿宋"/>
        </w:rPr>
        <w:t>2014</w:t>
      </w:r>
      <w:r>
        <w:rPr>
          <w:rFonts w:hint="eastAsia" w:ascii="仿宋" w:hAnsi="仿宋" w:eastAsia="仿宋" w:cs="宋体"/>
        </w:rPr>
        <w:t>〕</w:t>
      </w:r>
      <w:r>
        <w:rPr>
          <w:rFonts w:hint="eastAsia" w:ascii="仿宋" w:hAnsi="仿宋" w:eastAsia="仿宋"/>
        </w:rPr>
        <w:t>14号文），我委的基本职能是：</w:t>
      </w:r>
    </w:p>
    <w:p>
      <w:pPr>
        <w:spacing w:line="560" w:lineRule="exact"/>
        <w:ind w:firstLine="640" w:firstLineChars="200"/>
        <w:rPr>
          <w:rFonts w:ascii="仿宋" w:hAnsi="仿宋" w:eastAsia="仿宋"/>
        </w:rPr>
      </w:pPr>
      <w:r>
        <w:rPr>
          <w:rFonts w:hint="eastAsia" w:ascii="仿宋" w:hAnsi="仿宋" w:eastAsia="仿宋"/>
        </w:rPr>
        <w:t>1、贯彻实施中、省有关国民经济和社会发展、经济体制改革的方针、政策和法律、法规。拟订全市有关国民经济和社会发展、经济体制改革的政策草案,负责本系统、本部门依法行政工作，落实行政执法责任制。</w:t>
      </w:r>
    </w:p>
    <w:p>
      <w:pPr>
        <w:spacing w:line="560" w:lineRule="exact"/>
        <w:rPr>
          <w:rFonts w:ascii="仿宋" w:hAnsi="仿宋" w:eastAsia="仿宋"/>
        </w:rPr>
      </w:pPr>
      <w:r>
        <w:rPr>
          <w:rFonts w:hint="eastAsia" w:ascii="仿宋" w:hAnsi="仿宋" w:eastAsia="仿宋"/>
        </w:rPr>
        <w:t xml:space="preserve">    2、负责制定并组织实施全市国民经济和社会发展战略、中长期规划和年度计划，统筹协调全市经济社会发展，研究分析宏观经济形势，提出全市经济社会发展、经济结构优化、价格总水平调控目标和政策建议。受市政府委托向市人大提交国民经济和社会发展计划报告。</w:t>
      </w:r>
    </w:p>
    <w:p>
      <w:pPr>
        <w:spacing w:line="560" w:lineRule="exact"/>
        <w:rPr>
          <w:rFonts w:ascii="仿宋" w:hAnsi="仿宋" w:eastAsia="仿宋"/>
        </w:rPr>
      </w:pPr>
      <w:r>
        <w:rPr>
          <w:rFonts w:hint="eastAsia" w:ascii="仿宋" w:hAnsi="仿宋" w:eastAsia="仿宋"/>
        </w:rPr>
        <w:t xml:space="preserve">    3、负责监测宏观经济和社会发展态势，承担预测预警和信息引导的责任，研究宏观调控重大问题并提出政策建议，搞好总量平衡，综合协调经济社会发展中的重大问题。负责全市开发区的指导、协调和宏观管理。</w:t>
      </w:r>
    </w:p>
    <w:p>
      <w:pPr>
        <w:spacing w:line="560" w:lineRule="exact"/>
        <w:rPr>
          <w:rFonts w:ascii="仿宋" w:hAnsi="仿宋" w:eastAsia="仿宋"/>
        </w:rPr>
      </w:pPr>
      <w:r>
        <w:rPr>
          <w:rFonts w:hint="eastAsia" w:ascii="仿宋" w:hAnsi="仿宋" w:eastAsia="仿宋"/>
        </w:rPr>
        <w:t xml:space="preserve">    4、负责汇总分析全市财政、金融等方面情况，参与制定财政、金融、土地政策，综合分析政策执行效果，负责全市全口径外债的总量控制、结构优化和监测工作，提出多渠道融资的政策建议，综合协调财政、金融、价格和产业政策等经济杠杆，保证全市国民经济计划和发展规划的实施。</w:t>
      </w:r>
    </w:p>
    <w:p>
      <w:pPr>
        <w:spacing w:line="560" w:lineRule="exact"/>
        <w:rPr>
          <w:rFonts w:ascii="仿宋" w:hAnsi="仿宋" w:eastAsia="仿宋"/>
        </w:rPr>
      </w:pPr>
      <w:r>
        <w:rPr>
          <w:rFonts w:hint="eastAsia" w:ascii="仿宋" w:hAnsi="仿宋" w:eastAsia="仿宋"/>
        </w:rPr>
        <w:t xml:space="preserve">    5、承担指导推进和综合协调全市经济体制改革的责任，研究经济体制改革和对外开放的重大问题，组织制定综合性经济体制改革方案，协调有关专项经济体制改革方案，会同有关部门搞好重要专项经济体制改革之间的衔接，指导经济体制改革试点和改革试验区工作。</w:t>
      </w:r>
    </w:p>
    <w:p>
      <w:pPr>
        <w:spacing w:line="560" w:lineRule="exact"/>
        <w:ind w:firstLine="640" w:firstLineChars="200"/>
        <w:rPr>
          <w:rFonts w:ascii="仿宋" w:hAnsi="仿宋" w:eastAsia="仿宋"/>
        </w:rPr>
      </w:pPr>
      <w:r>
        <w:rPr>
          <w:rFonts w:hint="eastAsia" w:ascii="仿宋" w:hAnsi="仿宋" w:eastAsia="仿宋"/>
        </w:rPr>
        <w:t>6、贯彻实施中、省、市价格方面法律、法规和方针、政策，编制和执行价格调整改革规划，提出年度价格总水平调控目标及价格调控措施并组织实施，管理中、省、市列名管理的商品和服务价格，监管实行市场调节价的商品和服务价格，承担行政事业性收费管理工作，负责全市价格监督检查、价格成本调查监审、价格监测、价格认证等工作。</w:t>
      </w:r>
    </w:p>
    <w:p>
      <w:pPr>
        <w:spacing w:line="560" w:lineRule="exact"/>
        <w:ind w:firstLine="640" w:firstLineChars="200"/>
        <w:rPr>
          <w:rFonts w:ascii="仿宋" w:hAnsi="仿宋" w:eastAsia="仿宋"/>
        </w:rPr>
      </w:pPr>
      <w:r>
        <w:rPr>
          <w:rFonts w:hint="eastAsia" w:ascii="仿宋" w:hAnsi="仿宋" w:eastAsia="仿宋"/>
        </w:rPr>
        <w:t>7、负责全市投资宏观管理和协调推进重大项目建设。制定全社会固定资产投资总规模和投资结构的调控目标、政策及措施，安排市级预算内基本建设资金，按规定权限审批、核准、备案或转报固定资产投资项目（企业技术改造项目除外）和资源开发利用、外资、境外投资项目。引导民间投资方向，研究提出利用外资和境外投资的规划、总量平衡和结构优化的目标和政策，指导和协调国外贷款项目实施。组织开展重大建设项目稽察。指导工程咨询业发展。</w:t>
      </w:r>
    </w:p>
    <w:p>
      <w:pPr>
        <w:spacing w:line="560" w:lineRule="exact"/>
        <w:ind w:firstLine="640" w:firstLineChars="200"/>
        <w:rPr>
          <w:rFonts w:ascii="仿宋" w:hAnsi="仿宋" w:eastAsia="仿宋"/>
        </w:rPr>
      </w:pPr>
      <w:r>
        <w:rPr>
          <w:rFonts w:hint="eastAsia" w:ascii="仿宋" w:hAnsi="仿宋" w:eastAsia="仿宋"/>
        </w:rPr>
        <w:t>8、推进经济结构战略性调整。组织制定全市综合性产业政策，负责协调第一、二、三产业发展的重大问题，衔接平衡相关发展规划和重大政策，协调农业和农村经济社会发展的重大问题，衔接农村专项规划和政策。制定重大产业发展规划，引导全市重大生产力合理布局，协调推进全市重大技术装备推广应用和重大产业基地建设，会同有关部门拟订服务业、现代物流业发展战略、规划和重大政策。组织制定高技术产业发展、产业技术进步的战略、规划和重大政策，指导全市自主创新体系建设发展。</w:t>
      </w:r>
    </w:p>
    <w:p>
      <w:pPr>
        <w:spacing w:line="560" w:lineRule="exact"/>
        <w:ind w:firstLine="640" w:firstLineChars="200"/>
        <w:rPr>
          <w:rFonts w:ascii="仿宋" w:hAnsi="仿宋" w:eastAsia="仿宋"/>
        </w:rPr>
      </w:pPr>
      <w:r>
        <w:rPr>
          <w:rFonts w:hint="eastAsia" w:ascii="仿宋" w:hAnsi="仿宋" w:eastAsia="仿宋"/>
        </w:rPr>
        <w:t>9、促进城乡区域协调发展。组织编制全市主体功能区规划并协调规划实施和进行监测评估，组织制定区域协调发展战略、规划和重大政策，研究提出城镇化发展战略和统筹城乡发展的重大政策，负责地区经济协作的统筹协调。</w:t>
      </w:r>
    </w:p>
    <w:p>
      <w:pPr>
        <w:spacing w:line="560" w:lineRule="exact"/>
        <w:ind w:firstLine="640" w:firstLineChars="200"/>
        <w:rPr>
          <w:rFonts w:ascii="仿宋" w:hAnsi="仿宋" w:eastAsia="仿宋"/>
        </w:rPr>
      </w:pPr>
      <w:r>
        <w:rPr>
          <w:rFonts w:hint="eastAsia" w:ascii="仿宋" w:hAnsi="仿宋" w:eastAsia="仿宋"/>
        </w:rPr>
        <w:t>10、负责重要商品总量平衡和宏观调控。研究分析市内外市场和对外贸易运行情况，编制重要农产品、工业品和原材料进出口总量计划并监督执行。会同有关部门管理粮食、棉花等重要物资和商品的市级储备工作，提出重要商品市场、生产要素市场的总体布局和发展规划。</w:t>
      </w:r>
    </w:p>
    <w:p>
      <w:pPr>
        <w:spacing w:line="560" w:lineRule="exact"/>
        <w:ind w:firstLine="640" w:firstLineChars="200"/>
        <w:rPr>
          <w:rFonts w:ascii="仿宋" w:hAnsi="仿宋" w:eastAsia="仿宋"/>
        </w:rPr>
      </w:pPr>
      <w:r>
        <w:rPr>
          <w:rFonts w:hint="eastAsia" w:ascii="仿宋" w:hAnsi="仿宋" w:eastAsia="仿宋"/>
        </w:rPr>
        <w:t>11、负责全市社会发展与国民经济发展的政策衔接，组织制定社会发展战略、总体规划和年度计划，参与制定人口和计划生育、科学技术、教育、文化、卫生、体育、民政、残联等发展政策，推进社会事业建设。研究提出促进就业、调整收入分配、完善社会保障与经济协调发展的政策建议，协调社会事业发展和政策中的重大问题及政策。</w:t>
      </w:r>
    </w:p>
    <w:p>
      <w:pPr>
        <w:spacing w:line="560" w:lineRule="exact"/>
        <w:ind w:firstLine="640" w:firstLineChars="200"/>
        <w:rPr>
          <w:rFonts w:ascii="仿宋" w:hAnsi="仿宋" w:eastAsia="仿宋"/>
        </w:rPr>
      </w:pPr>
      <w:r>
        <w:rPr>
          <w:rFonts w:hint="eastAsia" w:ascii="仿宋" w:hAnsi="仿宋" w:eastAsia="仿宋"/>
        </w:rPr>
        <w:t>12、推进可持续发展，负责全市节能减排的综合协调工作，组织制定并协调实施全市发展循环经济、能源资源节约和综合利用规划及政策措施，参与编制生态建设、环境保护规划，协调生态建设、能源资源节约和综合利用的重大问题，综合协调环保产业和清洁生产促进有关工作。组织实施省应对气候变化重大战略规划和政策，组织制定全市应对气候变化的规划和政策措施。</w:t>
      </w:r>
    </w:p>
    <w:p>
      <w:pPr>
        <w:spacing w:line="560" w:lineRule="exact"/>
        <w:ind w:firstLine="640" w:firstLineChars="200"/>
        <w:rPr>
          <w:rFonts w:ascii="仿宋" w:hAnsi="仿宋" w:eastAsia="仿宋"/>
        </w:rPr>
      </w:pPr>
      <w:r>
        <w:rPr>
          <w:rFonts w:hint="eastAsia" w:ascii="仿宋" w:hAnsi="仿宋" w:eastAsia="仿宋"/>
        </w:rPr>
        <w:t>13、指导、协调并综合管理全市招标投标工作，对重大建设项目建设过程中的工程招标投标活动实施监督检查。</w:t>
      </w:r>
    </w:p>
    <w:p>
      <w:pPr>
        <w:spacing w:line="560" w:lineRule="exact"/>
        <w:ind w:firstLine="640" w:firstLineChars="200"/>
        <w:rPr>
          <w:rFonts w:ascii="仿宋" w:hAnsi="仿宋" w:eastAsia="仿宋"/>
        </w:rPr>
      </w:pPr>
      <w:r>
        <w:rPr>
          <w:rFonts w:hint="eastAsia" w:ascii="仿宋" w:hAnsi="仿宋" w:eastAsia="仿宋"/>
        </w:rPr>
        <w:t>14、负责组织协调和处理全市铁路建设项目前期工作、征地拆迁、建设过程中涉及的重大问题，协同做好全市铁路建设规划及年度计划编制的相关工作。</w:t>
      </w:r>
    </w:p>
    <w:p>
      <w:pPr>
        <w:spacing w:line="560" w:lineRule="exact"/>
        <w:ind w:firstLine="640" w:firstLineChars="200"/>
        <w:rPr>
          <w:rFonts w:ascii="仿宋" w:hAnsi="仿宋" w:eastAsia="仿宋"/>
        </w:rPr>
      </w:pPr>
      <w:r>
        <w:rPr>
          <w:rFonts w:hint="eastAsia" w:ascii="仿宋" w:hAnsi="仿宋" w:eastAsia="仿宋"/>
        </w:rPr>
        <w:t>15、负责组织编制全市国民经济动员与装备动员规划、计划，研究国民经济动员与装备动员和国民经济、国防建设的关系，协调相关重大问题，组织实施国民经济动员与装备动员有关工作。</w:t>
      </w:r>
    </w:p>
    <w:p>
      <w:pPr>
        <w:spacing w:line="560" w:lineRule="exact"/>
        <w:ind w:firstLine="640" w:firstLineChars="200"/>
        <w:rPr>
          <w:rFonts w:ascii="仿宋" w:hAnsi="仿宋" w:eastAsia="仿宋"/>
        </w:rPr>
      </w:pPr>
      <w:r>
        <w:rPr>
          <w:rFonts w:hint="eastAsia" w:ascii="仿宋" w:hAnsi="仿宋" w:eastAsia="仿宋"/>
        </w:rPr>
        <w:t>16、承担实施市重点工程领导小组、市应对气候变化及节能减排工作领导小组的具体工作。</w:t>
      </w:r>
    </w:p>
    <w:p>
      <w:pPr>
        <w:spacing w:line="560" w:lineRule="exact"/>
        <w:ind w:firstLine="640" w:firstLineChars="200"/>
        <w:rPr>
          <w:rFonts w:ascii="仿宋" w:hAnsi="仿宋" w:eastAsia="仿宋"/>
        </w:rPr>
      </w:pPr>
      <w:r>
        <w:rPr>
          <w:rFonts w:hint="eastAsia" w:ascii="仿宋" w:hAnsi="仿宋" w:eastAsia="仿宋"/>
        </w:rPr>
        <w:t>17、承担市政府公布的有关行政审批事项。</w:t>
      </w:r>
    </w:p>
    <w:p>
      <w:pPr>
        <w:spacing w:line="560" w:lineRule="exact"/>
        <w:ind w:firstLine="640" w:firstLineChars="200"/>
        <w:rPr>
          <w:rFonts w:ascii="仿宋" w:hAnsi="仿宋" w:eastAsia="仿宋"/>
        </w:rPr>
      </w:pPr>
      <w:r>
        <w:rPr>
          <w:rFonts w:hint="eastAsia" w:ascii="仿宋" w:hAnsi="仿宋" w:eastAsia="仿宋"/>
        </w:rPr>
        <w:t>18、承办政府交办的其他事项。</w:t>
      </w:r>
    </w:p>
    <w:p>
      <w:pPr>
        <w:pStyle w:val="2"/>
        <w:adjustRightInd w:val="0"/>
        <w:snapToGrid w:val="0"/>
        <w:spacing w:before="93" w:line="600" w:lineRule="exact"/>
        <w:ind w:firstLine="672" w:firstLineChars="210"/>
        <w:rPr>
          <w:rFonts w:ascii="仿宋" w:hAnsi="仿宋" w:eastAsia="仿宋"/>
          <w:bCs/>
          <w:color w:val="000000"/>
          <w:sz w:val="32"/>
          <w:szCs w:val="32"/>
        </w:rPr>
      </w:pPr>
      <w:r>
        <w:rPr>
          <w:rFonts w:hint="eastAsia" w:ascii="仿宋" w:hAnsi="仿宋" w:eastAsia="仿宋"/>
          <w:bCs/>
          <w:color w:val="000000"/>
          <w:sz w:val="32"/>
          <w:szCs w:val="32"/>
        </w:rPr>
        <w:t>（二）2017年重点工作完成情况。</w:t>
      </w:r>
    </w:p>
    <w:p>
      <w:pPr>
        <w:spacing w:line="560" w:lineRule="exact"/>
        <w:ind w:firstLine="642" w:firstLineChars="200"/>
        <w:rPr>
          <w:rFonts w:ascii="仿宋" w:hAnsi="仿宋" w:eastAsia="仿宋"/>
          <w:color w:val="000000"/>
        </w:rPr>
      </w:pPr>
      <w:r>
        <w:rPr>
          <w:rFonts w:hint="eastAsia" w:ascii="仿宋" w:hAnsi="仿宋" w:eastAsia="仿宋" w:cs="楷体"/>
          <w:b/>
          <w:kern w:val="0"/>
        </w:rPr>
        <w:t>一是</w:t>
      </w:r>
      <w:r>
        <w:rPr>
          <w:rFonts w:hint="eastAsia" w:ascii="仿宋" w:hAnsi="仿宋" w:eastAsia="仿宋" w:cs="楷体"/>
          <w:kern w:val="0"/>
        </w:rPr>
        <w:t>认真做好规划编制和经济工作谋划落实，积极当好市委市政府的参谋助手。</w:t>
      </w:r>
      <w:r>
        <w:rPr>
          <w:rFonts w:hint="eastAsia" w:ascii="仿宋" w:hAnsi="仿宋" w:eastAsia="仿宋" w:cs="楷体"/>
          <w:b/>
          <w:kern w:val="0"/>
        </w:rPr>
        <w:t>二是</w:t>
      </w:r>
      <w:r>
        <w:rPr>
          <w:rFonts w:hint="eastAsia" w:ascii="仿宋" w:hAnsi="仿宋" w:eastAsia="仿宋" w:cs="楷体"/>
          <w:kern w:val="0"/>
        </w:rPr>
        <w:t>全力推进重大项目建设，投资拉动作用有效发挥。</w:t>
      </w:r>
      <w:r>
        <w:rPr>
          <w:rFonts w:hint="eastAsia" w:ascii="仿宋" w:hAnsi="仿宋" w:eastAsia="仿宋" w:cs="楷体"/>
          <w:b/>
          <w:kern w:val="0"/>
        </w:rPr>
        <w:t>三是</w:t>
      </w:r>
      <w:r>
        <w:rPr>
          <w:rFonts w:hint="eastAsia" w:ascii="仿宋" w:hAnsi="仿宋" w:eastAsia="仿宋" w:cs="楷体"/>
          <w:kern w:val="0"/>
        </w:rPr>
        <w:t>加快推进基础设施建设，促进民生持续改善。</w:t>
      </w:r>
      <w:r>
        <w:rPr>
          <w:rFonts w:hint="eastAsia" w:ascii="仿宋" w:hAnsi="仿宋" w:eastAsia="仿宋" w:cs="楷体"/>
          <w:b/>
          <w:color w:val="000000"/>
          <w:kern w:val="0"/>
        </w:rPr>
        <w:t>四是</w:t>
      </w:r>
      <w:r>
        <w:rPr>
          <w:rFonts w:hint="eastAsia" w:ascii="仿宋" w:hAnsi="仿宋" w:eastAsia="仿宋" w:cs="楷体"/>
          <w:color w:val="000000"/>
          <w:kern w:val="0"/>
        </w:rPr>
        <w:t>全面深化改革创新，着力破解体制机制障碍</w:t>
      </w:r>
      <w:r>
        <w:rPr>
          <w:rFonts w:hint="eastAsia" w:ascii="仿宋" w:hAnsi="仿宋" w:eastAsia="仿宋"/>
          <w:color w:val="000000"/>
        </w:rPr>
        <w:t>。</w:t>
      </w:r>
      <w:r>
        <w:rPr>
          <w:rFonts w:hint="eastAsia" w:ascii="仿宋" w:hAnsi="仿宋" w:eastAsia="仿宋" w:cs="楷体"/>
          <w:b/>
          <w:color w:val="000000"/>
          <w:kern w:val="0"/>
        </w:rPr>
        <w:t>五是</w:t>
      </w:r>
      <w:r>
        <w:rPr>
          <w:rFonts w:hint="eastAsia" w:ascii="仿宋" w:hAnsi="仿宋" w:eastAsia="仿宋" w:cs="楷体"/>
          <w:color w:val="000000"/>
          <w:kern w:val="0"/>
        </w:rPr>
        <w:t>多措并举规范招投标流程，切实整顿招投标市场。</w:t>
      </w:r>
      <w:r>
        <w:rPr>
          <w:rFonts w:hint="eastAsia" w:ascii="仿宋" w:hAnsi="仿宋" w:eastAsia="仿宋" w:cs="楷体"/>
          <w:b/>
          <w:color w:val="000000"/>
          <w:kern w:val="0"/>
        </w:rPr>
        <w:t>六是</w:t>
      </w:r>
      <w:r>
        <w:rPr>
          <w:rFonts w:hint="eastAsia" w:ascii="仿宋" w:hAnsi="仿宋" w:eastAsia="仿宋" w:cs="楷体"/>
          <w:color w:val="000000"/>
          <w:kern w:val="0"/>
        </w:rPr>
        <w:t>聚焦易地扶贫搬迁工作，脱贫攻坚目标圆满完成。</w:t>
      </w:r>
      <w:r>
        <w:rPr>
          <w:rFonts w:hint="eastAsia" w:ascii="仿宋" w:hAnsi="仿宋" w:eastAsia="仿宋" w:cs="楷体"/>
          <w:b/>
          <w:color w:val="000000"/>
          <w:kern w:val="0"/>
        </w:rPr>
        <w:t>七是</w:t>
      </w:r>
      <w:r>
        <w:rPr>
          <w:rFonts w:hint="eastAsia" w:ascii="仿宋" w:hAnsi="仿宋" w:eastAsia="仿宋" w:cs="楷体"/>
          <w:color w:val="000000"/>
          <w:kern w:val="0"/>
        </w:rPr>
        <w:t>加强物价调控监管，保持市场物价基本稳定。</w:t>
      </w:r>
    </w:p>
    <w:p>
      <w:pPr>
        <w:spacing w:line="600" w:lineRule="exact"/>
        <w:ind w:firstLine="640" w:firstLineChars="200"/>
        <w:rPr>
          <w:rFonts w:ascii="黑体" w:eastAsia="黑体"/>
          <w:color w:val="000000"/>
        </w:rPr>
      </w:pPr>
      <w:r>
        <w:rPr>
          <w:rFonts w:hint="eastAsia" w:ascii="黑体" w:eastAsia="黑体"/>
          <w:color w:val="000000"/>
        </w:rPr>
        <w:t>二、部门概况</w:t>
      </w:r>
    </w:p>
    <w:p>
      <w:pPr>
        <w:ind w:firstLine="640" w:firstLineChars="200"/>
        <w:rPr>
          <w:rFonts w:ascii="仿宋" w:hAnsi="仿宋" w:eastAsia="仿宋"/>
        </w:rPr>
      </w:pPr>
      <w:r>
        <w:rPr>
          <w:rFonts w:hint="eastAsia" w:ascii="仿宋" w:hAnsi="仿宋" w:eastAsia="仿宋"/>
        </w:rPr>
        <w:t>遂宁市发展和改革委员会</w:t>
      </w:r>
      <w:r>
        <w:rPr>
          <w:rFonts w:ascii="仿宋" w:hAnsi="仿宋" w:eastAsia="仿宋"/>
          <w:color w:val="000000"/>
        </w:rPr>
        <w:t>下属二级单位</w:t>
      </w:r>
      <w:r>
        <w:rPr>
          <w:rFonts w:hint="eastAsia" w:ascii="仿宋" w:hAnsi="仿宋" w:eastAsia="仿宋"/>
          <w:color w:val="000000"/>
        </w:rPr>
        <w:t>1</w:t>
      </w:r>
      <w:r>
        <w:rPr>
          <w:rFonts w:ascii="仿宋" w:hAnsi="仿宋" w:eastAsia="仿宋"/>
          <w:color w:val="000000"/>
        </w:rPr>
        <w:t>个，其中行政单位</w:t>
      </w:r>
      <w:r>
        <w:rPr>
          <w:rFonts w:hint="eastAsia" w:ascii="仿宋" w:hAnsi="仿宋" w:eastAsia="仿宋"/>
          <w:color w:val="000000"/>
        </w:rPr>
        <w:t>0</w:t>
      </w:r>
      <w:r>
        <w:rPr>
          <w:rFonts w:ascii="仿宋" w:hAnsi="仿宋" w:eastAsia="仿宋"/>
          <w:color w:val="000000"/>
        </w:rPr>
        <w:t>个，参照公务员法管理的事业单位</w:t>
      </w:r>
      <w:r>
        <w:rPr>
          <w:rFonts w:hint="eastAsia" w:ascii="仿宋" w:hAnsi="仿宋" w:eastAsia="仿宋"/>
          <w:bCs/>
          <w:color w:val="000000"/>
        </w:rPr>
        <w:t>0</w:t>
      </w:r>
      <w:r>
        <w:rPr>
          <w:rFonts w:ascii="仿宋" w:hAnsi="仿宋" w:eastAsia="仿宋"/>
          <w:color w:val="000000"/>
        </w:rPr>
        <w:t>个，其他事业单位</w:t>
      </w:r>
      <w:r>
        <w:rPr>
          <w:rFonts w:hint="eastAsia" w:ascii="仿宋" w:hAnsi="仿宋" w:eastAsia="仿宋"/>
          <w:color w:val="000000"/>
        </w:rPr>
        <w:t>1</w:t>
      </w:r>
      <w:r>
        <w:rPr>
          <w:rFonts w:ascii="仿宋" w:hAnsi="仿宋" w:eastAsia="仿宋"/>
          <w:color w:val="000000"/>
        </w:rPr>
        <w:t>个</w:t>
      </w:r>
      <w:r>
        <w:rPr>
          <w:rFonts w:hint="eastAsia" w:ascii="仿宋" w:hAnsi="仿宋" w:eastAsia="仿宋"/>
        </w:rPr>
        <w:t>（认证中心，未实行独立经费预算）</w:t>
      </w:r>
    </w:p>
    <w:p>
      <w:pPr>
        <w:spacing w:line="600" w:lineRule="exact"/>
        <w:ind w:firstLine="640" w:firstLineChars="200"/>
        <w:rPr>
          <w:rFonts w:ascii="黑体" w:eastAsia="黑体"/>
          <w:color w:val="000000"/>
        </w:rPr>
      </w:pPr>
      <w:r>
        <w:rPr>
          <w:rFonts w:hint="eastAsia" w:ascii="黑体" w:eastAsia="黑体"/>
          <w:color w:val="000000"/>
        </w:rPr>
        <w:t>三、收支决算总体情况说明</w:t>
      </w:r>
    </w:p>
    <w:p>
      <w:pPr>
        <w:spacing w:line="600" w:lineRule="exact"/>
        <w:ind w:firstLine="640"/>
        <w:rPr>
          <w:rFonts w:ascii="仿宋" w:hAnsi="仿宋" w:eastAsia="仿宋"/>
        </w:rPr>
      </w:pPr>
      <w:r>
        <w:rPr>
          <w:rFonts w:hint="eastAsia" w:ascii="仿宋" w:hAnsi="仿宋" w:eastAsia="仿宋"/>
          <w:color w:val="000000"/>
        </w:rPr>
        <w:t>2017年市发改委本年收入合计1841.43万元，</w:t>
      </w:r>
      <w:r>
        <w:rPr>
          <w:rFonts w:hint="eastAsia" w:ascii="仿宋" w:hAnsi="仿宋" w:eastAsia="仿宋"/>
        </w:rPr>
        <w:t>比</w:t>
      </w:r>
      <w:r>
        <w:rPr>
          <w:rFonts w:hint="eastAsia" w:ascii="仿宋" w:hAnsi="仿宋" w:eastAsia="仿宋"/>
          <w:color w:val="000000"/>
        </w:rPr>
        <w:t>2016</w:t>
      </w:r>
      <w:r>
        <w:rPr>
          <w:rFonts w:hint="eastAsia" w:ascii="仿宋" w:hAnsi="仿宋" w:eastAsia="仿宋"/>
        </w:rPr>
        <w:t>年减少679.8万元，</w:t>
      </w:r>
      <w:r>
        <w:rPr>
          <w:rFonts w:ascii="仿宋" w:hAnsi="仿宋" w:eastAsia="仿宋"/>
        </w:rPr>
        <w:t>主要是</w:t>
      </w:r>
      <w:r>
        <w:rPr>
          <w:rFonts w:hint="eastAsia" w:ascii="仿宋" w:hAnsi="仿宋" w:eastAsia="仿宋"/>
        </w:rPr>
        <w:t>遂渝二线铁路征地拆迁补偿收入减少。</w:t>
      </w:r>
      <w:r>
        <w:rPr>
          <w:rFonts w:hint="eastAsia" w:ascii="仿宋" w:hAnsi="仿宋" w:eastAsia="仿宋"/>
          <w:color w:val="000000"/>
        </w:rPr>
        <w:t>其中：一般公共预算财政拨款收入1814.22万元，占98.52%；政府性基金预算财政拨款收入0万元，占0%；国有资本经营预算财政拨款收入0万元，占0%；</w:t>
      </w:r>
      <w:r>
        <w:rPr>
          <w:rFonts w:ascii="仿宋" w:hAnsi="仿宋" w:eastAsia="仿宋"/>
          <w:color w:val="000000"/>
        </w:rPr>
        <w:t>事业收入</w:t>
      </w:r>
      <w:r>
        <w:rPr>
          <w:rFonts w:hint="eastAsia" w:ascii="仿宋" w:hAnsi="仿宋" w:eastAsia="仿宋"/>
          <w:color w:val="000000"/>
        </w:rPr>
        <w:t>0</w:t>
      </w:r>
      <w:r>
        <w:rPr>
          <w:rFonts w:ascii="仿宋" w:hAnsi="仿宋" w:eastAsia="仿宋"/>
          <w:color w:val="000000"/>
        </w:rPr>
        <w:t>万元，占</w:t>
      </w:r>
      <w:r>
        <w:rPr>
          <w:rFonts w:hint="eastAsia" w:ascii="仿宋" w:hAnsi="仿宋" w:eastAsia="仿宋"/>
          <w:color w:val="000000"/>
        </w:rPr>
        <w:t>0</w:t>
      </w:r>
      <w:r>
        <w:rPr>
          <w:rFonts w:ascii="仿宋" w:hAnsi="仿宋" w:eastAsia="仿宋"/>
          <w:color w:val="000000"/>
        </w:rPr>
        <w:t>%；经营收入</w:t>
      </w:r>
      <w:r>
        <w:rPr>
          <w:rFonts w:hint="eastAsia" w:ascii="仿宋" w:hAnsi="仿宋" w:eastAsia="仿宋"/>
          <w:color w:val="000000"/>
        </w:rPr>
        <w:t>0</w:t>
      </w:r>
      <w:r>
        <w:rPr>
          <w:rFonts w:ascii="仿宋" w:hAnsi="仿宋" w:eastAsia="仿宋"/>
          <w:color w:val="000000"/>
        </w:rPr>
        <w:t>万元，占</w:t>
      </w:r>
      <w:r>
        <w:rPr>
          <w:rFonts w:hint="eastAsia" w:ascii="仿宋" w:hAnsi="仿宋" w:eastAsia="仿宋"/>
          <w:color w:val="000000"/>
        </w:rPr>
        <w:t>0</w:t>
      </w:r>
      <w:r>
        <w:rPr>
          <w:rFonts w:ascii="仿宋" w:hAnsi="仿宋" w:eastAsia="仿宋"/>
          <w:color w:val="000000"/>
        </w:rPr>
        <w:t>%；附属单位上缴收入</w:t>
      </w:r>
      <w:r>
        <w:rPr>
          <w:rFonts w:hint="eastAsia" w:ascii="仿宋" w:hAnsi="仿宋" w:eastAsia="仿宋"/>
          <w:color w:val="000000"/>
        </w:rPr>
        <w:t>0</w:t>
      </w:r>
      <w:r>
        <w:rPr>
          <w:rFonts w:ascii="仿宋" w:hAnsi="仿宋" w:eastAsia="仿宋"/>
          <w:color w:val="000000"/>
        </w:rPr>
        <w:t>万元，占</w:t>
      </w:r>
      <w:r>
        <w:rPr>
          <w:rFonts w:hint="eastAsia" w:ascii="仿宋" w:hAnsi="仿宋" w:eastAsia="仿宋"/>
          <w:color w:val="000000"/>
        </w:rPr>
        <w:t>0</w:t>
      </w:r>
      <w:r>
        <w:rPr>
          <w:rFonts w:ascii="仿宋" w:hAnsi="仿宋" w:eastAsia="仿宋"/>
          <w:color w:val="000000"/>
        </w:rPr>
        <w:t>%；</w:t>
      </w:r>
      <w:r>
        <w:rPr>
          <w:rFonts w:hint="eastAsia" w:ascii="仿宋" w:hAnsi="仿宋" w:eastAsia="仿宋"/>
          <w:color w:val="000000"/>
        </w:rPr>
        <w:t>其他收入27.21万元，占1.48%。</w:t>
      </w:r>
    </w:p>
    <w:p>
      <w:pPr>
        <w:rPr>
          <w:rFonts w:ascii="宋体" w:hAnsi="宋体" w:eastAsia="宋体" w:cs="宋体"/>
          <w:kern w:val="0"/>
          <w:sz w:val="24"/>
          <w:szCs w:val="24"/>
        </w:rPr>
      </w:pPr>
      <w:r>
        <w:rPr>
          <w:rFonts w:hint="eastAsia"/>
        </w:rPr>
        <w:t xml:space="preserve">        </w:t>
      </w:r>
      <w:r>
        <w:rPr>
          <w:rFonts w:ascii="宋体" w:hAnsi="宋体" w:eastAsia="宋体" w:cs="宋体"/>
          <w:kern w:val="0"/>
          <w:sz w:val="24"/>
          <w:szCs w:val="24"/>
        </w:rPr>
        <w:drawing>
          <wp:inline distT="0" distB="0" distL="0" distR="0">
            <wp:extent cx="2373630" cy="1905000"/>
            <wp:effectExtent l="19050" t="0" r="7620" b="0"/>
            <wp:docPr id="46" name="图片 46" descr="C:\Users\Administrator\AppData\Roaming\Tencent\Users\529209065\QQ\WinTemp\RichOle\5}NU1GBB~31L`NZP8I1R@P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6" name="图片 46" descr="C:\Users\Administrator\AppData\Roaming\Tencent\Users\529209065\QQ\WinTemp\RichOle\5}NU1GBB~31L`NZP8I1R@P1.png"/>
                    <pic:cNvPicPr>
                      <a:picLocks noChangeAspect="true" noChangeArrowheads="true"/>
                    </pic:cNvPicPr>
                  </pic:nvPicPr>
                  <pic:blipFill>
                    <a:blip r:embed="rId4" cstate="print"/>
                    <a:srcRect/>
                    <a:stretch>
                      <a:fillRect/>
                    </a:stretch>
                  </pic:blipFill>
                  <pic:spPr>
                    <a:xfrm>
                      <a:off x="0" y="0"/>
                      <a:ext cx="2373630" cy="1905000"/>
                    </a:xfrm>
                    <a:prstGeom prst="rect">
                      <a:avLst/>
                    </a:prstGeom>
                    <a:noFill/>
                    <a:ln w="9525">
                      <a:noFill/>
                      <a:miter lim="800000"/>
                      <a:headEnd/>
                      <a:tailEnd/>
                    </a:ln>
                  </pic:spPr>
                </pic:pic>
              </a:graphicData>
            </a:graphic>
          </wp:inline>
        </w:drawing>
      </w:r>
    </w:p>
    <w:p>
      <w:pPr>
        <w:spacing w:line="600" w:lineRule="exact"/>
        <w:ind w:firstLine="640" w:firstLineChars="200"/>
        <w:rPr>
          <w:rFonts w:ascii="仿宋" w:hAnsi="仿宋" w:eastAsia="仿宋"/>
          <w:color w:val="000000"/>
        </w:rPr>
      </w:pPr>
      <w:r>
        <w:rPr>
          <w:rFonts w:hint="eastAsia" w:ascii="仿宋" w:hAnsi="仿宋" w:eastAsia="仿宋"/>
          <w:color w:val="000000"/>
        </w:rPr>
        <w:t>2017年市发改委本年支出合计2084.10万元，</w:t>
      </w:r>
      <w:r>
        <w:rPr>
          <w:rFonts w:hint="eastAsia" w:ascii="仿宋" w:hAnsi="仿宋" w:eastAsia="仿宋"/>
        </w:rPr>
        <w:t>比</w:t>
      </w:r>
      <w:r>
        <w:rPr>
          <w:rFonts w:hint="eastAsia" w:ascii="仿宋" w:hAnsi="仿宋" w:eastAsia="仿宋"/>
          <w:color w:val="000000"/>
        </w:rPr>
        <w:t>2016</w:t>
      </w:r>
      <w:r>
        <w:rPr>
          <w:rFonts w:hint="eastAsia" w:ascii="仿宋" w:hAnsi="仿宋" w:eastAsia="仿宋"/>
        </w:rPr>
        <w:t>年增加295.94万元，</w:t>
      </w:r>
      <w:r>
        <w:rPr>
          <w:rFonts w:ascii="仿宋" w:hAnsi="仿宋" w:eastAsia="仿宋"/>
        </w:rPr>
        <w:t>主要是</w:t>
      </w:r>
      <w:r>
        <w:rPr>
          <w:rFonts w:hint="eastAsia" w:ascii="仿宋" w:hAnsi="仿宋" w:eastAsia="仿宋"/>
        </w:rPr>
        <w:t>铁路建设、双低油菜基地建设、省专项经费支出增加。</w:t>
      </w:r>
      <w:r>
        <w:rPr>
          <w:rFonts w:hint="eastAsia" w:ascii="仿宋" w:hAnsi="仿宋" w:eastAsia="仿宋"/>
          <w:color w:val="000000"/>
        </w:rPr>
        <w:t>其中：基本支出1536.29万元，占73.71%；项目支出547.81万元，占26.29%。</w:t>
      </w:r>
      <w:r>
        <w:rPr>
          <w:rFonts w:ascii="仿宋" w:hAnsi="仿宋" w:eastAsia="仿宋"/>
          <w:color w:val="000000"/>
        </w:rPr>
        <w:t>上缴上级支出</w:t>
      </w:r>
      <w:r>
        <w:rPr>
          <w:rFonts w:hint="eastAsia" w:ascii="仿宋" w:hAnsi="仿宋" w:eastAsia="仿宋"/>
          <w:color w:val="000000"/>
        </w:rPr>
        <w:t>0</w:t>
      </w:r>
      <w:r>
        <w:rPr>
          <w:rFonts w:ascii="仿宋" w:hAnsi="仿宋" w:eastAsia="仿宋"/>
          <w:color w:val="000000"/>
        </w:rPr>
        <w:t>万元，占</w:t>
      </w:r>
      <w:r>
        <w:rPr>
          <w:rFonts w:hint="eastAsia" w:ascii="仿宋" w:hAnsi="仿宋" w:eastAsia="仿宋"/>
          <w:color w:val="000000"/>
        </w:rPr>
        <w:t>0</w:t>
      </w:r>
      <w:r>
        <w:rPr>
          <w:rFonts w:ascii="仿宋" w:hAnsi="仿宋" w:eastAsia="仿宋"/>
          <w:color w:val="000000"/>
        </w:rPr>
        <w:t>%；经营支出</w:t>
      </w:r>
      <w:r>
        <w:rPr>
          <w:rFonts w:hint="eastAsia" w:ascii="仿宋" w:hAnsi="仿宋" w:eastAsia="仿宋"/>
          <w:color w:val="000000"/>
        </w:rPr>
        <w:t>0</w:t>
      </w:r>
      <w:r>
        <w:rPr>
          <w:rFonts w:ascii="仿宋" w:hAnsi="仿宋" w:eastAsia="仿宋"/>
          <w:color w:val="000000"/>
        </w:rPr>
        <w:t>万元，占</w:t>
      </w:r>
      <w:r>
        <w:rPr>
          <w:rFonts w:hint="eastAsia" w:ascii="仿宋" w:hAnsi="仿宋" w:eastAsia="仿宋"/>
          <w:color w:val="000000"/>
        </w:rPr>
        <w:t>0</w:t>
      </w:r>
      <w:r>
        <w:rPr>
          <w:rFonts w:ascii="仿宋" w:hAnsi="仿宋" w:eastAsia="仿宋"/>
          <w:color w:val="000000"/>
        </w:rPr>
        <w:t>%；对附属单位补助支出</w:t>
      </w:r>
      <w:r>
        <w:rPr>
          <w:rFonts w:hint="eastAsia" w:ascii="仿宋" w:hAnsi="仿宋" w:eastAsia="仿宋"/>
          <w:color w:val="000000"/>
        </w:rPr>
        <w:t>0</w:t>
      </w:r>
      <w:r>
        <w:rPr>
          <w:rFonts w:ascii="仿宋" w:hAnsi="仿宋" w:eastAsia="仿宋"/>
          <w:color w:val="000000"/>
        </w:rPr>
        <w:t>万元，占</w:t>
      </w:r>
      <w:r>
        <w:rPr>
          <w:rFonts w:hint="eastAsia" w:ascii="仿宋" w:hAnsi="仿宋" w:eastAsia="仿宋"/>
          <w:color w:val="000000"/>
        </w:rPr>
        <w:t>0</w:t>
      </w:r>
      <w:r>
        <w:rPr>
          <w:rFonts w:ascii="仿宋" w:hAnsi="仿宋" w:eastAsia="仿宋"/>
          <w:color w:val="000000"/>
        </w:rPr>
        <w:t>%。</w:t>
      </w:r>
    </w:p>
    <w:p>
      <w:pPr>
        <w:rPr>
          <w:rFonts w:ascii="宋体" w:hAnsi="宋体" w:eastAsia="宋体" w:cs="宋体"/>
          <w:kern w:val="0"/>
          <w:sz w:val="24"/>
          <w:szCs w:val="24"/>
        </w:rPr>
      </w:pPr>
      <w:r>
        <w:rPr>
          <w:rFonts w:hint="eastAsia" w:ascii="仿宋" w:hAnsi="仿宋" w:eastAsia="仿宋"/>
        </w:rPr>
        <w:t xml:space="preserve">       </w:t>
      </w:r>
      <w:r>
        <w:rPr>
          <w:rFonts w:ascii="宋体" w:hAnsi="宋体" w:eastAsia="宋体" w:cs="宋体"/>
          <w:kern w:val="0"/>
          <w:sz w:val="24"/>
          <w:szCs w:val="24"/>
        </w:rPr>
        <w:drawing>
          <wp:inline distT="0" distB="0" distL="0" distR="0">
            <wp:extent cx="2857500" cy="1600200"/>
            <wp:effectExtent l="19050" t="0" r="0" b="0"/>
            <wp:docPr id="59" name="图片 59" descr="C:\Users\Administrator\AppData\Roaming\Tencent\Users\529209065\QQ\WinTemp\RichOle\TZL{ULDK@2M1Q@W(C$]_IBS.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9" name="图片 59" descr="C:\Users\Administrator\AppData\Roaming\Tencent\Users\529209065\QQ\WinTemp\RichOle\TZL{ULDK@2M1Q@W(C$]_IBS.png"/>
                    <pic:cNvPicPr>
                      <a:picLocks noChangeAspect="true" noChangeArrowheads="true"/>
                    </pic:cNvPicPr>
                  </pic:nvPicPr>
                  <pic:blipFill>
                    <a:blip r:embed="rId5" cstate="print"/>
                    <a:srcRect/>
                    <a:stretch>
                      <a:fillRect/>
                    </a:stretch>
                  </pic:blipFill>
                  <pic:spPr>
                    <a:xfrm>
                      <a:off x="0" y="0"/>
                      <a:ext cx="2857500" cy="1600200"/>
                    </a:xfrm>
                    <a:prstGeom prst="rect">
                      <a:avLst/>
                    </a:prstGeom>
                    <a:noFill/>
                    <a:ln w="9525">
                      <a:noFill/>
                      <a:miter lim="800000"/>
                      <a:headEnd/>
                      <a:tailEnd/>
                    </a:ln>
                  </pic:spPr>
                </pic:pic>
              </a:graphicData>
            </a:graphic>
          </wp:inline>
        </w:drawing>
      </w:r>
    </w:p>
    <w:p>
      <w:pPr>
        <w:spacing w:line="600" w:lineRule="exact"/>
        <w:ind w:firstLine="640" w:firstLineChars="200"/>
        <w:rPr>
          <w:rFonts w:ascii="仿宋_GB2312"/>
          <w:color w:val="000000"/>
        </w:rPr>
      </w:pPr>
      <w:r>
        <w:rPr>
          <w:rFonts w:hint="eastAsia" w:ascii="黑体" w:eastAsia="黑体"/>
          <w:color w:val="000000"/>
        </w:rPr>
        <w:t>四、财政拨款收入支出决算总体情况说明</w:t>
      </w:r>
    </w:p>
    <w:p>
      <w:pPr>
        <w:spacing w:line="600" w:lineRule="exact"/>
        <w:ind w:firstLine="640" w:firstLineChars="200"/>
        <w:rPr>
          <w:rFonts w:ascii="仿宋" w:hAnsi="仿宋" w:eastAsia="仿宋"/>
        </w:rPr>
      </w:pPr>
      <w:r>
        <w:rPr>
          <w:rFonts w:hint="eastAsia" w:ascii="仿宋" w:hAnsi="仿宋" w:eastAsia="仿宋"/>
          <w:color w:val="000000"/>
        </w:rPr>
        <w:t>2017年度财政拨款收、支总计1820.92万元。与2016年相比，财政拨款收、支总计各增加27.62万元，增长1.54%，</w:t>
      </w:r>
      <w:r>
        <w:rPr>
          <w:rFonts w:ascii="仿宋" w:hAnsi="仿宋" w:eastAsia="仿宋"/>
        </w:rPr>
        <w:t>主要是</w:t>
      </w:r>
      <w:r>
        <w:rPr>
          <w:rFonts w:hint="eastAsia" w:ascii="仿宋" w:hAnsi="仿宋" w:eastAsia="仿宋"/>
        </w:rPr>
        <w:t>社会保障和就业支出增加。</w:t>
      </w:r>
    </w:p>
    <w:p>
      <w:r>
        <w:drawing>
          <wp:inline distT="0" distB="0" distL="114300" distR="114300">
            <wp:extent cx="4990465" cy="2181225"/>
            <wp:effectExtent l="0" t="0" r="635" b="9525"/>
            <wp:docPr id="9"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true"/>
                    </pic:cNvPicPr>
                  </pic:nvPicPr>
                  <pic:blipFill>
                    <a:blip r:embed="rId6" cstate="print"/>
                    <a:stretch>
                      <a:fillRect/>
                    </a:stretch>
                  </pic:blipFill>
                  <pic:spPr>
                    <a:xfrm>
                      <a:off x="0" y="0"/>
                      <a:ext cx="4990465" cy="2181225"/>
                    </a:xfrm>
                    <a:prstGeom prst="rect">
                      <a:avLst/>
                    </a:prstGeom>
                    <a:noFill/>
                    <a:ln w="9525">
                      <a:noFill/>
                    </a:ln>
                  </pic:spPr>
                </pic:pic>
              </a:graphicData>
            </a:graphic>
          </wp:inline>
        </w:drawing>
      </w:r>
    </w:p>
    <w:p>
      <w:pPr>
        <w:spacing w:line="600" w:lineRule="exact"/>
        <w:ind w:firstLine="640" w:firstLineChars="200"/>
        <w:rPr>
          <w:rFonts w:ascii="黑体" w:eastAsia="黑体"/>
          <w:color w:val="000000"/>
        </w:rPr>
      </w:pPr>
      <w:r>
        <w:rPr>
          <w:rFonts w:hint="eastAsia" w:ascii="黑体" w:eastAsia="黑体"/>
          <w:color w:val="000000"/>
        </w:rPr>
        <w:t>五、一般公共预算财政拨款支出决算情况说明</w:t>
      </w:r>
    </w:p>
    <w:p>
      <w:pPr>
        <w:spacing w:line="600" w:lineRule="exact"/>
        <w:ind w:firstLine="640" w:firstLineChars="200"/>
        <w:rPr>
          <w:rFonts w:ascii="仿宋" w:hAnsi="仿宋" w:eastAsia="仿宋"/>
          <w:color w:val="000000"/>
        </w:rPr>
      </w:pPr>
      <w:r>
        <w:rPr>
          <w:rFonts w:hint="eastAsia" w:ascii="仿宋" w:hAnsi="仿宋" w:eastAsia="仿宋"/>
          <w:color w:val="000000"/>
        </w:rPr>
        <w:t>（一）一般公共预算财政拨款支出决算总体情况</w:t>
      </w:r>
    </w:p>
    <w:p>
      <w:pPr>
        <w:spacing w:line="600" w:lineRule="exact"/>
        <w:ind w:firstLine="640" w:firstLineChars="200"/>
        <w:rPr>
          <w:rFonts w:ascii="仿宋" w:hAnsi="仿宋" w:eastAsia="仿宋"/>
          <w:color w:val="000000"/>
        </w:rPr>
      </w:pPr>
      <w:r>
        <w:rPr>
          <w:rFonts w:hint="eastAsia" w:ascii="仿宋" w:hAnsi="仿宋" w:eastAsia="仿宋"/>
          <w:color w:val="000000"/>
        </w:rPr>
        <w:t>2017年度一般公共预算财政拨款支出1794.25万元，占本年支出合计的86.09%。与2016年相比，一般公共预算财政拨款增加8.41万元，增长0.47%。</w:t>
      </w:r>
    </w:p>
    <w:p>
      <w:r>
        <w:drawing>
          <wp:inline distT="0" distB="0" distL="114300" distR="114300">
            <wp:extent cx="4999990" cy="2457450"/>
            <wp:effectExtent l="0" t="0" r="10160" b="0"/>
            <wp:docPr id="10"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true"/>
                    </pic:cNvPicPr>
                  </pic:nvPicPr>
                  <pic:blipFill>
                    <a:blip r:embed="rId7" cstate="print"/>
                    <a:stretch>
                      <a:fillRect/>
                    </a:stretch>
                  </pic:blipFill>
                  <pic:spPr>
                    <a:xfrm>
                      <a:off x="0" y="0"/>
                      <a:ext cx="4999990" cy="2457450"/>
                    </a:xfrm>
                    <a:prstGeom prst="rect">
                      <a:avLst/>
                    </a:prstGeom>
                    <a:noFill/>
                    <a:ln w="9525">
                      <a:noFill/>
                    </a:ln>
                  </pic:spPr>
                </pic:pic>
              </a:graphicData>
            </a:graphic>
          </wp:inline>
        </w:drawing>
      </w:r>
    </w:p>
    <w:p>
      <w:pPr>
        <w:spacing w:line="600" w:lineRule="exact"/>
        <w:ind w:firstLine="640" w:firstLineChars="200"/>
        <w:rPr>
          <w:rFonts w:ascii="仿宋" w:hAnsi="仿宋" w:eastAsia="仿宋"/>
          <w:color w:val="000000"/>
        </w:rPr>
      </w:pPr>
      <w:r>
        <w:rPr>
          <w:rFonts w:hint="eastAsia" w:ascii="仿宋" w:hAnsi="仿宋" w:eastAsia="仿宋"/>
          <w:color w:val="000000"/>
        </w:rPr>
        <w:t>（二）一般公共预算财政拨款支出决算结构情况</w:t>
      </w:r>
    </w:p>
    <w:p>
      <w:pPr>
        <w:spacing w:line="600" w:lineRule="exact"/>
        <w:ind w:firstLine="640"/>
        <w:rPr>
          <w:rFonts w:ascii="仿宋" w:hAnsi="仿宋" w:eastAsia="仿宋"/>
          <w:color w:val="000000"/>
          <w:highlight w:val="yellow"/>
        </w:rPr>
      </w:pPr>
      <w:r>
        <w:rPr>
          <w:rFonts w:hint="eastAsia" w:ascii="仿宋" w:hAnsi="仿宋" w:eastAsia="仿宋"/>
          <w:color w:val="000000"/>
        </w:rPr>
        <w:t>2017年一般公共预算财政拨款支出1794.25万元，主要用于以下方面:一般公共服务支出1524.54万元，占84.97%；社会保障和就业支出149.44万元，占8.33%；医疗卫生支出52.74万元，占2.94%；农林水支出5万元，占0.28%;住房保障支出62.53万元，占3.49%。</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w:t>
      </w:r>
      <w:r>
        <w:rPr>
          <w:rFonts w:ascii="宋体" w:hAnsi="宋体" w:eastAsia="宋体" w:cs="宋体"/>
          <w:kern w:val="0"/>
          <w:sz w:val="24"/>
          <w:szCs w:val="24"/>
        </w:rPr>
        <w:drawing>
          <wp:inline distT="0" distB="0" distL="0" distR="0">
            <wp:extent cx="2903220" cy="1999615"/>
            <wp:effectExtent l="19050" t="0" r="0" b="0"/>
            <wp:docPr id="4" name="图片 83" descr="C:\Users\Administrator\AppData\Roaming\Tencent\Users\529209065\QQ\WinTemp\RichOle\7B)@4@25DMD6$$45R%]KPL5.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83" descr="C:\Users\Administrator\AppData\Roaming\Tencent\Users\529209065\QQ\WinTemp\RichOle\7B)@4@25DMD6$$45R%]KPL5.png"/>
                    <pic:cNvPicPr>
                      <a:picLocks noChangeAspect="true" noChangeArrowheads="true"/>
                    </pic:cNvPicPr>
                  </pic:nvPicPr>
                  <pic:blipFill>
                    <a:blip r:embed="rId8" cstate="print"/>
                    <a:srcRect/>
                    <a:stretch>
                      <a:fillRect/>
                    </a:stretch>
                  </pic:blipFill>
                  <pic:spPr>
                    <a:xfrm>
                      <a:off x="0" y="0"/>
                      <a:ext cx="2906241" cy="2001839"/>
                    </a:xfrm>
                    <a:prstGeom prst="rect">
                      <a:avLst/>
                    </a:prstGeom>
                    <a:noFill/>
                    <a:ln w="9525">
                      <a:noFill/>
                      <a:miter lim="800000"/>
                      <a:headEnd/>
                      <a:tailEnd/>
                    </a:ln>
                  </pic:spPr>
                </pic:pic>
              </a:graphicData>
            </a:graphic>
          </wp:inline>
        </w:drawing>
      </w:r>
    </w:p>
    <w:p>
      <w:pPr>
        <w:spacing w:line="600" w:lineRule="exact"/>
        <w:ind w:firstLine="640" w:firstLineChars="200"/>
        <w:rPr>
          <w:rFonts w:ascii="仿宋" w:hAnsi="仿宋" w:eastAsia="仿宋"/>
          <w:color w:val="000000"/>
        </w:rPr>
      </w:pPr>
      <w:r>
        <w:rPr>
          <w:rFonts w:hint="eastAsia" w:ascii="仿宋" w:hAnsi="仿宋" w:eastAsia="仿宋"/>
          <w:color w:val="000000"/>
        </w:rPr>
        <w:t>（三）一般公共预算财政拨款支出决算具体情况</w:t>
      </w:r>
    </w:p>
    <w:p>
      <w:pPr>
        <w:spacing w:line="600" w:lineRule="exact"/>
        <w:ind w:firstLine="800" w:firstLineChars="250"/>
        <w:rPr>
          <w:rStyle w:val="9"/>
          <w:rFonts w:ascii="仿宋" w:hAnsi="仿宋" w:eastAsia="仿宋"/>
          <w:b w:val="0"/>
          <w:color w:val="000000" w:themeColor="text1"/>
        </w:rPr>
      </w:pPr>
      <w:r>
        <w:rPr>
          <w:rStyle w:val="9"/>
          <w:rFonts w:hint="eastAsia" w:ascii="仿宋" w:hAnsi="仿宋" w:eastAsia="仿宋"/>
          <w:b w:val="0"/>
          <w:color w:val="000000" w:themeColor="text1"/>
        </w:rPr>
        <w:t>1.一般公共服务（类）发展与改革事务（款）行政运行（项）: 支出决算为1184.93万元，完成预算99.89%。</w:t>
      </w:r>
      <w:r>
        <w:rPr>
          <w:rFonts w:ascii="仿宋" w:hAnsi="仿宋" w:eastAsia="仿宋"/>
          <w:color w:val="000000" w:themeColor="text1"/>
        </w:rPr>
        <w:t>决算数</w:t>
      </w:r>
      <w:r>
        <w:rPr>
          <w:rFonts w:hint="eastAsia" w:ascii="仿宋" w:hAnsi="仿宋" w:eastAsia="仿宋"/>
          <w:color w:val="000000" w:themeColor="text1"/>
        </w:rPr>
        <w:t>小</w:t>
      </w:r>
      <w:r>
        <w:rPr>
          <w:rFonts w:ascii="仿宋" w:hAnsi="仿宋" w:eastAsia="仿宋"/>
          <w:color w:val="000000" w:themeColor="text1"/>
        </w:rPr>
        <w:t>于预算数的主要原因</w:t>
      </w:r>
      <w:r>
        <w:rPr>
          <w:rFonts w:hint="eastAsia" w:ascii="仿宋" w:hAnsi="仿宋" w:eastAsia="仿宋"/>
          <w:color w:val="000000" w:themeColor="text1"/>
        </w:rPr>
        <w:t>是</w:t>
      </w:r>
      <w:r>
        <w:rPr>
          <w:rFonts w:hint="eastAsia" w:ascii="仿宋" w:hAnsi="仿宋" w:eastAsia="仿宋"/>
          <w:color w:val="4E4342"/>
          <w:shd w:val="clear" w:color="auto" w:fill="FFFFFF"/>
        </w:rPr>
        <w:t>按工作实际情况行政运行资金有结余</w:t>
      </w:r>
      <w:r>
        <w:rPr>
          <w:rFonts w:hint="eastAsia" w:ascii="仿宋" w:hAnsi="仿宋" w:eastAsia="仿宋"/>
          <w:color w:val="000000" w:themeColor="text1"/>
        </w:rPr>
        <w:t>。</w:t>
      </w:r>
    </w:p>
    <w:p>
      <w:pPr>
        <w:spacing w:line="600" w:lineRule="exact"/>
        <w:ind w:firstLine="857" w:firstLineChars="268"/>
        <w:rPr>
          <w:rFonts w:ascii="仿宋" w:hAnsi="仿宋" w:eastAsia="仿宋"/>
          <w:color w:val="000000" w:themeColor="text1"/>
        </w:rPr>
      </w:pPr>
      <w:r>
        <w:rPr>
          <w:rStyle w:val="9"/>
          <w:rFonts w:hint="eastAsia" w:ascii="仿宋" w:hAnsi="仿宋" w:eastAsia="仿宋"/>
          <w:b w:val="0"/>
          <w:color w:val="000000" w:themeColor="text1"/>
        </w:rPr>
        <w:t>2.一般公共服务（类）发展与改革事务</w:t>
      </w:r>
      <w:r>
        <w:rPr>
          <w:rStyle w:val="9"/>
          <w:rFonts w:ascii="仿宋" w:hAnsi="仿宋" w:eastAsia="仿宋"/>
          <w:b w:val="0"/>
          <w:color w:val="000000" w:themeColor="text1"/>
        </w:rPr>
        <w:t>（款）</w:t>
      </w:r>
      <w:r>
        <w:rPr>
          <w:rStyle w:val="9"/>
          <w:rFonts w:hint="eastAsia" w:ascii="仿宋" w:hAnsi="仿宋" w:eastAsia="仿宋"/>
          <w:b w:val="0"/>
          <w:color w:val="000000" w:themeColor="text1"/>
        </w:rPr>
        <w:t>一般行政管理事务</w:t>
      </w:r>
      <w:r>
        <w:rPr>
          <w:rStyle w:val="9"/>
          <w:rFonts w:ascii="仿宋" w:hAnsi="仿宋" w:eastAsia="仿宋"/>
          <w:b w:val="0"/>
          <w:color w:val="000000" w:themeColor="text1"/>
        </w:rPr>
        <w:t>（项）</w:t>
      </w:r>
      <w:r>
        <w:rPr>
          <w:rStyle w:val="9"/>
          <w:rFonts w:hint="eastAsia" w:ascii="仿宋" w:hAnsi="仿宋" w:eastAsia="仿宋"/>
          <w:b w:val="0"/>
          <w:color w:val="000000" w:themeColor="text1"/>
        </w:rPr>
        <w:t>：</w:t>
      </w:r>
      <w:r>
        <w:rPr>
          <w:rFonts w:hint="eastAsia" w:ascii="仿宋" w:hAnsi="仿宋" w:eastAsia="仿宋"/>
          <w:color w:val="000000" w:themeColor="text1"/>
        </w:rPr>
        <w:t>支出</w:t>
      </w:r>
      <w:r>
        <w:rPr>
          <w:rFonts w:ascii="仿宋" w:hAnsi="仿宋" w:eastAsia="仿宋"/>
          <w:color w:val="000000" w:themeColor="text1"/>
        </w:rPr>
        <w:t>决算为</w:t>
      </w:r>
      <w:r>
        <w:rPr>
          <w:rFonts w:hint="eastAsia" w:ascii="仿宋" w:hAnsi="仿宋" w:eastAsia="仿宋"/>
          <w:color w:val="000000" w:themeColor="text1"/>
        </w:rPr>
        <w:t>218.71</w:t>
      </w:r>
      <w:r>
        <w:rPr>
          <w:rFonts w:ascii="仿宋" w:hAnsi="仿宋" w:eastAsia="仿宋"/>
          <w:color w:val="000000" w:themeColor="text1"/>
        </w:rPr>
        <w:t>万元，完成预算</w:t>
      </w:r>
      <w:r>
        <w:rPr>
          <w:rFonts w:hint="eastAsia" w:ascii="仿宋" w:hAnsi="仿宋" w:eastAsia="仿宋"/>
          <w:color w:val="000000" w:themeColor="text1"/>
        </w:rPr>
        <w:t>95.96</w:t>
      </w:r>
      <w:r>
        <w:rPr>
          <w:rFonts w:ascii="仿宋" w:hAnsi="仿宋" w:eastAsia="仿宋"/>
          <w:color w:val="000000" w:themeColor="text1"/>
        </w:rPr>
        <w:t>%</w:t>
      </w:r>
      <w:r>
        <w:rPr>
          <w:rFonts w:hint="eastAsia" w:ascii="仿宋" w:hAnsi="仿宋" w:eastAsia="仿宋"/>
          <w:color w:val="000000" w:themeColor="text1"/>
        </w:rPr>
        <w:t>。</w:t>
      </w:r>
      <w:r>
        <w:rPr>
          <w:rFonts w:ascii="仿宋" w:hAnsi="仿宋" w:eastAsia="仿宋"/>
          <w:color w:val="000000" w:themeColor="text1"/>
        </w:rPr>
        <w:t>决算数</w:t>
      </w:r>
      <w:r>
        <w:rPr>
          <w:rFonts w:hint="eastAsia" w:ascii="仿宋" w:hAnsi="仿宋" w:eastAsia="仿宋"/>
          <w:color w:val="000000" w:themeColor="text1"/>
        </w:rPr>
        <w:t>小</w:t>
      </w:r>
      <w:r>
        <w:rPr>
          <w:rFonts w:ascii="仿宋" w:hAnsi="仿宋" w:eastAsia="仿宋"/>
          <w:color w:val="000000" w:themeColor="text1"/>
        </w:rPr>
        <w:t>于预算数的主要原因</w:t>
      </w:r>
      <w:r>
        <w:rPr>
          <w:rFonts w:hint="eastAsia" w:ascii="仿宋" w:hAnsi="仿宋" w:eastAsia="仿宋"/>
          <w:color w:val="000000" w:themeColor="text1"/>
        </w:rPr>
        <w:t>是有项目待付资金。</w:t>
      </w:r>
    </w:p>
    <w:p>
      <w:pPr>
        <w:spacing w:line="600" w:lineRule="exact"/>
        <w:ind w:firstLine="697" w:firstLineChars="218"/>
        <w:rPr>
          <w:rFonts w:ascii="仿宋" w:hAnsi="仿宋" w:eastAsia="仿宋"/>
          <w:color w:val="000000" w:themeColor="text1"/>
        </w:rPr>
      </w:pPr>
      <w:r>
        <w:rPr>
          <w:rFonts w:hint="eastAsia" w:ascii="仿宋" w:hAnsi="仿宋" w:eastAsia="仿宋"/>
          <w:color w:val="000000" w:themeColor="text1"/>
        </w:rPr>
        <w:t>3.</w:t>
      </w:r>
      <w:r>
        <w:rPr>
          <w:rStyle w:val="9"/>
          <w:rFonts w:hint="eastAsia" w:ascii="仿宋" w:hAnsi="仿宋" w:eastAsia="仿宋"/>
          <w:b w:val="0"/>
          <w:color w:val="000000" w:themeColor="text1"/>
        </w:rPr>
        <w:t>一般公共服务（类）发展与改革事务</w:t>
      </w:r>
      <w:r>
        <w:rPr>
          <w:rStyle w:val="9"/>
          <w:rFonts w:ascii="仿宋" w:hAnsi="仿宋" w:eastAsia="仿宋"/>
          <w:b w:val="0"/>
          <w:color w:val="000000" w:themeColor="text1"/>
        </w:rPr>
        <w:t>（款）</w:t>
      </w:r>
      <w:r>
        <w:rPr>
          <w:rStyle w:val="9"/>
          <w:rFonts w:hint="eastAsia" w:ascii="仿宋" w:hAnsi="仿宋" w:eastAsia="仿宋"/>
          <w:b w:val="0"/>
          <w:color w:val="000000" w:themeColor="text1"/>
        </w:rPr>
        <w:t>物价管理</w:t>
      </w:r>
      <w:r>
        <w:rPr>
          <w:rStyle w:val="9"/>
          <w:rFonts w:ascii="仿宋" w:hAnsi="仿宋" w:eastAsia="仿宋"/>
          <w:b w:val="0"/>
          <w:color w:val="000000" w:themeColor="text1"/>
        </w:rPr>
        <w:t>（项</w:t>
      </w:r>
      <w:r>
        <w:rPr>
          <w:rStyle w:val="9"/>
          <w:rFonts w:hint="eastAsia" w:ascii="仿宋" w:hAnsi="仿宋" w:eastAsia="仿宋"/>
          <w:b w:val="0"/>
          <w:color w:val="000000" w:themeColor="text1"/>
        </w:rPr>
        <w:t>）：</w:t>
      </w:r>
      <w:r>
        <w:rPr>
          <w:rFonts w:hint="eastAsia" w:ascii="仿宋" w:hAnsi="仿宋" w:eastAsia="仿宋"/>
          <w:color w:val="000000" w:themeColor="text1"/>
        </w:rPr>
        <w:t>支出</w:t>
      </w:r>
      <w:r>
        <w:rPr>
          <w:rFonts w:ascii="仿宋" w:hAnsi="仿宋" w:eastAsia="仿宋"/>
          <w:color w:val="000000" w:themeColor="text1"/>
        </w:rPr>
        <w:t>决算为</w:t>
      </w:r>
      <w:r>
        <w:rPr>
          <w:rFonts w:hint="eastAsia" w:ascii="仿宋" w:hAnsi="仿宋" w:eastAsia="仿宋"/>
          <w:color w:val="000000" w:themeColor="text1"/>
        </w:rPr>
        <w:t>34.25</w:t>
      </w:r>
      <w:r>
        <w:rPr>
          <w:rFonts w:ascii="仿宋" w:hAnsi="仿宋" w:eastAsia="仿宋"/>
          <w:color w:val="000000" w:themeColor="text1"/>
        </w:rPr>
        <w:t>万元，完成预算</w:t>
      </w:r>
      <w:r>
        <w:rPr>
          <w:rFonts w:hint="eastAsia" w:ascii="仿宋" w:hAnsi="仿宋" w:eastAsia="仿宋"/>
          <w:color w:val="000000" w:themeColor="text1"/>
        </w:rPr>
        <w:t>100</w:t>
      </w:r>
      <w:r>
        <w:rPr>
          <w:rFonts w:ascii="仿宋" w:hAnsi="仿宋" w:eastAsia="仿宋"/>
          <w:color w:val="000000" w:themeColor="text1"/>
        </w:rPr>
        <w:t>%</w:t>
      </w:r>
      <w:r>
        <w:rPr>
          <w:rFonts w:hint="eastAsia" w:ascii="仿宋" w:hAnsi="仿宋" w:eastAsia="仿宋"/>
          <w:color w:val="000000" w:themeColor="text1"/>
        </w:rPr>
        <w:t>。</w:t>
      </w:r>
    </w:p>
    <w:p>
      <w:pPr>
        <w:spacing w:line="600" w:lineRule="exact"/>
        <w:ind w:firstLine="697" w:firstLineChars="218"/>
        <w:rPr>
          <w:rFonts w:ascii="仿宋" w:hAnsi="仿宋" w:eastAsia="仿宋"/>
          <w:color w:val="000000" w:themeColor="text1"/>
        </w:rPr>
      </w:pPr>
      <w:r>
        <w:rPr>
          <w:rFonts w:hint="eastAsia" w:ascii="仿宋" w:hAnsi="仿宋" w:eastAsia="仿宋"/>
          <w:color w:val="000000" w:themeColor="text1"/>
        </w:rPr>
        <w:t>4.</w:t>
      </w:r>
      <w:r>
        <w:rPr>
          <w:rStyle w:val="9"/>
          <w:rFonts w:hint="eastAsia" w:ascii="仿宋" w:hAnsi="仿宋" w:eastAsia="仿宋"/>
          <w:b w:val="0"/>
          <w:color w:val="000000" w:themeColor="text1"/>
        </w:rPr>
        <w:t>一般公共服务（类）发展与改革事务</w:t>
      </w:r>
      <w:r>
        <w:rPr>
          <w:rStyle w:val="9"/>
          <w:rFonts w:ascii="仿宋" w:hAnsi="仿宋" w:eastAsia="仿宋"/>
          <w:b w:val="0"/>
          <w:color w:val="000000" w:themeColor="text1"/>
        </w:rPr>
        <w:t>（款）</w:t>
      </w:r>
      <w:r>
        <w:rPr>
          <w:rStyle w:val="9"/>
          <w:rFonts w:hint="eastAsia" w:ascii="仿宋" w:hAnsi="仿宋" w:eastAsia="仿宋"/>
          <w:b w:val="0"/>
          <w:color w:val="000000" w:themeColor="text1"/>
        </w:rPr>
        <w:t>事业运行</w:t>
      </w:r>
      <w:r>
        <w:rPr>
          <w:rStyle w:val="9"/>
          <w:rFonts w:ascii="仿宋" w:hAnsi="仿宋" w:eastAsia="仿宋"/>
          <w:b w:val="0"/>
          <w:color w:val="000000" w:themeColor="text1"/>
        </w:rPr>
        <w:t>（项）</w:t>
      </w:r>
      <w:r>
        <w:rPr>
          <w:rStyle w:val="9"/>
          <w:rFonts w:hint="eastAsia" w:ascii="仿宋" w:hAnsi="仿宋" w:eastAsia="仿宋"/>
          <w:b w:val="0"/>
          <w:color w:val="000000" w:themeColor="text1"/>
        </w:rPr>
        <w:t>：</w:t>
      </w:r>
      <w:r>
        <w:rPr>
          <w:rFonts w:hint="eastAsia" w:ascii="仿宋" w:hAnsi="仿宋" w:eastAsia="仿宋"/>
          <w:color w:val="000000" w:themeColor="text1"/>
        </w:rPr>
        <w:t>支出</w:t>
      </w:r>
      <w:r>
        <w:rPr>
          <w:rFonts w:ascii="仿宋" w:hAnsi="仿宋" w:eastAsia="仿宋"/>
          <w:color w:val="000000" w:themeColor="text1"/>
        </w:rPr>
        <w:t>决算为</w:t>
      </w:r>
      <w:r>
        <w:rPr>
          <w:rFonts w:hint="eastAsia" w:ascii="仿宋" w:hAnsi="仿宋" w:eastAsia="仿宋"/>
          <w:color w:val="000000" w:themeColor="text1"/>
        </w:rPr>
        <w:t>84.63</w:t>
      </w:r>
      <w:r>
        <w:rPr>
          <w:rFonts w:ascii="仿宋" w:hAnsi="仿宋" w:eastAsia="仿宋"/>
          <w:color w:val="000000" w:themeColor="text1"/>
        </w:rPr>
        <w:t>万元，完成预算</w:t>
      </w:r>
      <w:r>
        <w:rPr>
          <w:rFonts w:hint="eastAsia" w:ascii="仿宋" w:hAnsi="仿宋" w:eastAsia="仿宋"/>
          <w:color w:val="000000" w:themeColor="text1"/>
        </w:rPr>
        <w:t>100</w:t>
      </w:r>
      <w:r>
        <w:rPr>
          <w:rFonts w:ascii="仿宋" w:hAnsi="仿宋" w:eastAsia="仿宋"/>
          <w:color w:val="000000" w:themeColor="text1"/>
        </w:rPr>
        <w:t>%</w:t>
      </w:r>
      <w:r>
        <w:rPr>
          <w:rFonts w:hint="eastAsia" w:ascii="仿宋" w:hAnsi="仿宋" w:eastAsia="仿宋"/>
          <w:color w:val="000000" w:themeColor="text1"/>
        </w:rPr>
        <w:t>。</w:t>
      </w:r>
    </w:p>
    <w:p>
      <w:pPr>
        <w:spacing w:line="600" w:lineRule="exact"/>
        <w:ind w:firstLine="697" w:firstLineChars="218"/>
        <w:rPr>
          <w:rFonts w:ascii="仿宋" w:hAnsi="仿宋" w:eastAsia="仿宋"/>
          <w:color w:val="000000" w:themeColor="text1"/>
        </w:rPr>
      </w:pPr>
      <w:r>
        <w:rPr>
          <w:rFonts w:hint="eastAsia" w:ascii="仿宋" w:hAnsi="仿宋" w:eastAsia="仿宋"/>
          <w:color w:val="000000" w:themeColor="text1"/>
        </w:rPr>
        <w:t>5.</w:t>
      </w:r>
      <w:r>
        <w:rPr>
          <w:rStyle w:val="9"/>
          <w:rFonts w:hint="eastAsia" w:ascii="仿宋" w:hAnsi="仿宋" w:eastAsia="仿宋"/>
          <w:b w:val="0"/>
          <w:color w:val="000000" w:themeColor="text1"/>
        </w:rPr>
        <w:t>一般公共服务（类）发展与改革事务</w:t>
      </w:r>
      <w:r>
        <w:rPr>
          <w:rStyle w:val="9"/>
          <w:rFonts w:ascii="仿宋" w:hAnsi="仿宋" w:eastAsia="仿宋"/>
          <w:b w:val="0"/>
          <w:color w:val="000000" w:themeColor="text1"/>
        </w:rPr>
        <w:t>（款）</w:t>
      </w:r>
      <w:r>
        <w:rPr>
          <w:rStyle w:val="9"/>
          <w:rFonts w:hint="eastAsia" w:ascii="仿宋" w:hAnsi="仿宋" w:eastAsia="仿宋"/>
          <w:b w:val="0"/>
          <w:color w:val="000000" w:themeColor="text1"/>
        </w:rPr>
        <w:t>其他发展与改革事务</w:t>
      </w:r>
      <w:r>
        <w:rPr>
          <w:rStyle w:val="9"/>
          <w:rFonts w:ascii="仿宋" w:hAnsi="仿宋" w:eastAsia="仿宋"/>
          <w:b w:val="0"/>
          <w:color w:val="000000" w:themeColor="text1"/>
        </w:rPr>
        <w:t>（项）</w:t>
      </w:r>
      <w:r>
        <w:rPr>
          <w:rStyle w:val="9"/>
          <w:rFonts w:hint="eastAsia" w:ascii="仿宋" w:hAnsi="仿宋" w:eastAsia="仿宋"/>
          <w:b w:val="0"/>
          <w:color w:val="000000" w:themeColor="text1"/>
        </w:rPr>
        <w:t>：</w:t>
      </w:r>
      <w:r>
        <w:rPr>
          <w:rFonts w:hint="eastAsia" w:ascii="仿宋" w:hAnsi="仿宋" w:eastAsia="仿宋"/>
          <w:color w:val="000000" w:themeColor="text1"/>
        </w:rPr>
        <w:t>支出</w:t>
      </w:r>
      <w:r>
        <w:rPr>
          <w:rFonts w:ascii="仿宋" w:hAnsi="仿宋" w:eastAsia="仿宋"/>
          <w:color w:val="000000" w:themeColor="text1"/>
        </w:rPr>
        <w:t>决算数为</w:t>
      </w:r>
      <w:r>
        <w:rPr>
          <w:rFonts w:hint="eastAsia" w:ascii="仿宋" w:hAnsi="仿宋" w:eastAsia="仿宋"/>
          <w:color w:val="000000" w:themeColor="text1"/>
        </w:rPr>
        <w:t>1.01</w:t>
      </w:r>
      <w:r>
        <w:rPr>
          <w:rFonts w:ascii="仿宋" w:hAnsi="仿宋" w:eastAsia="仿宋"/>
          <w:color w:val="000000" w:themeColor="text1"/>
        </w:rPr>
        <w:t>万元，完成预算</w:t>
      </w:r>
      <w:r>
        <w:rPr>
          <w:rFonts w:hint="eastAsia" w:ascii="仿宋" w:hAnsi="仿宋" w:eastAsia="仿宋"/>
          <w:color w:val="000000" w:themeColor="text1"/>
        </w:rPr>
        <w:t>100</w:t>
      </w:r>
      <w:r>
        <w:rPr>
          <w:rFonts w:ascii="仿宋" w:hAnsi="仿宋" w:eastAsia="仿宋"/>
          <w:color w:val="000000" w:themeColor="text1"/>
        </w:rPr>
        <w:t>%</w:t>
      </w:r>
      <w:r>
        <w:rPr>
          <w:rFonts w:hint="eastAsia" w:ascii="仿宋" w:hAnsi="仿宋" w:eastAsia="仿宋"/>
          <w:color w:val="000000" w:themeColor="text1"/>
        </w:rPr>
        <w:t>。</w:t>
      </w:r>
    </w:p>
    <w:p>
      <w:pPr>
        <w:spacing w:line="600" w:lineRule="exact"/>
        <w:ind w:firstLine="697" w:firstLineChars="218"/>
        <w:rPr>
          <w:rFonts w:ascii="仿宋" w:hAnsi="仿宋" w:eastAsia="仿宋"/>
          <w:color w:val="000000" w:themeColor="text1"/>
        </w:rPr>
      </w:pPr>
      <w:r>
        <w:rPr>
          <w:rFonts w:hint="eastAsia" w:ascii="仿宋" w:hAnsi="仿宋" w:eastAsia="仿宋"/>
          <w:color w:val="000000" w:themeColor="text1"/>
        </w:rPr>
        <w:t>6.</w:t>
      </w:r>
      <w:r>
        <w:rPr>
          <w:rStyle w:val="9"/>
          <w:rFonts w:hint="eastAsia" w:ascii="仿宋" w:hAnsi="仿宋" w:eastAsia="仿宋"/>
          <w:b w:val="0"/>
          <w:color w:val="000000" w:themeColor="text1"/>
        </w:rPr>
        <w:t>一般公共服务（类）其他共产党事务</w:t>
      </w:r>
      <w:r>
        <w:rPr>
          <w:rStyle w:val="9"/>
          <w:rFonts w:ascii="仿宋" w:hAnsi="仿宋" w:eastAsia="仿宋"/>
          <w:b w:val="0"/>
          <w:color w:val="000000" w:themeColor="text1"/>
        </w:rPr>
        <w:t>（款）</w:t>
      </w:r>
      <w:r>
        <w:rPr>
          <w:rStyle w:val="9"/>
          <w:rFonts w:hint="eastAsia" w:ascii="仿宋" w:hAnsi="仿宋" w:eastAsia="仿宋"/>
          <w:b w:val="0"/>
          <w:color w:val="000000" w:themeColor="text1"/>
        </w:rPr>
        <w:t>其他共产党事务</w:t>
      </w:r>
      <w:r>
        <w:rPr>
          <w:rStyle w:val="9"/>
          <w:rFonts w:ascii="仿宋" w:hAnsi="仿宋" w:eastAsia="仿宋"/>
          <w:b w:val="0"/>
          <w:color w:val="000000" w:themeColor="text1"/>
        </w:rPr>
        <w:t>（项）</w:t>
      </w:r>
      <w:r>
        <w:rPr>
          <w:rStyle w:val="9"/>
          <w:rFonts w:hint="eastAsia" w:ascii="仿宋" w:hAnsi="仿宋" w:eastAsia="仿宋"/>
          <w:b w:val="0"/>
          <w:color w:val="000000" w:themeColor="text1"/>
        </w:rPr>
        <w:t>：</w:t>
      </w:r>
      <w:r>
        <w:rPr>
          <w:rFonts w:hint="eastAsia" w:ascii="仿宋" w:hAnsi="仿宋" w:eastAsia="仿宋"/>
          <w:color w:val="000000" w:themeColor="text1"/>
        </w:rPr>
        <w:t>支出</w:t>
      </w:r>
      <w:r>
        <w:rPr>
          <w:rFonts w:ascii="仿宋" w:hAnsi="仿宋" w:eastAsia="仿宋"/>
          <w:color w:val="000000" w:themeColor="text1"/>
        </w:rPr>
        <w:t>决算为</w:t>
      </w:r>
      <w:r>
        <w:rPr>
          <w:rFonts w:hint="eastAsia" w:ascii="仿宋" w:hAnsi="仿宋" w:eastAsia="仿宋"/>
          <w:color w:val="000000" w:themeColor="text1"/>
        </w:rPr>
        <w:t>1</w:t>
      </w:r>
      <w:r>
        <w:rPr>
          <w:rFonts w:ascii="仿宋" w:hAnsi="仿宋" w:eastAsia="仿宋"/>
          <w:color w:val="000000" w:themeColor="text1"/>
        </w:rPr>
        <w:t>万元，完成预算</w:t>
      </w:r>
      <w:r>
        <w:rPr>
          <w:rFonts w:hint="eastAsia" w:ascii="仿宋" w:hAnsi="仿宋" w:eastAsia="仿宋"/>
          <w:color w:val="000000" w:themeColor="text1"/>
        </w:rPr>
        <w:t>100</w:t>
      </w:r>
      <w:r>
        <w:rPr>
          <w:rFonts w:ascii="仿宋" w:hAnsi="仿宋" w:eastAsia="仿宋"/>
          <w:color w:val="000000" w:themeColor="text1"/>
        </w:rPr>
        <w:t>%</w:t>
      </w:r>
      <w:r>
        <w:rPr>
          <w:rFonts w:hint="eastAsia" w:ascii="仿宋" w:hAnsi="仿宋" w:eastAsia="仿宋"/>
          <w:color w:val="000000" w:themeColor="text1"/>
        </w:rPr>
        <w:t>。</w:t>
      </w:r>
    </w:p>
    <w:p>
      <w:pPr>
        <w:spacing w:line="600" w:lineRule="exact"/>
        <w:ind w:firstLine="800" w:firstLineChars="250"/>
        <w:rPr>
          <w:rStyle w:val="9"/>
          <w:rFonts w:ascii="仿宋" w:hAnsi="仿宋" w:eastAsia="仿宋"/>
          <w:b w:val="0"/>
          <w:color w:val="000000" w:themeColor="text1"/>
        </w:rPr>
      </w:pPr>
      <w:r>
        <w:rPr>
          <w:rStyle w:val="9"/>
          <w:rFonts w:hint="eastAsia" w:ascii="仿宋" w:hAnsi="仿宋" w:eastAsia="仿宋"/>
          <w:b w:val="0"/>
          <w:color w:val="000000" w:themeColor="text1"/>
        </w:rPr>
        <w:t>7.社会保障和就业（类）行政事业单位离退休（款）未归口管理的行政单位离退休（项）: 支出决算为14.48万元，完成预算100%。</w:t>
      </w:r>
    </w:p>
    <w:p>
      <w:pPr>
        <w:spacing w:line="600" w:lineRule="exact"/>
        <w:ind w:firstLine="800" w:firstLineChars="250"/>
        <w:rPr>
          <w:rFonts w:ascii="仿宋" w:hAnsi="仿宋" w:eastAsia="仿宋"/>
          <w:color w:val="000000" w:themeColor="text1"/>
        </w:rPr>
      </w:pPr>
      <w:r>
        <w:rPr>
          <w:rStyle w:val="9"/>
          <w:rFonts w:hint="eastAsia" w:ascii="仿宋" w:hAnsi="仿宋" w:eastAsia="仿宋"/>
          <w:b w:val="0"/>
          <w:color w:val="000000" w:themeColor="text1"/>
        </w:rPr>
        <w:t>8.社会保障和就业（类）行政事业单位离退休（款）机关事业单位基本养老保险缴费</w:t>
      </w:r>
      <w:r>
        <w:rPr>
          <w:rStyle w:val="9"/>
          <w:rFonts w:ascii="仿宋" w:hAnsi="仿宋" w:eastAsia="仿宋"/>
          <w:b w:val="0"/>
          <w:color w:val="000000" w:themeColor="text1"/>
        </w:rPr>
        <w:t>（项）</w:t>
      </w:r>
      <w:r>
        <w:rPr>
          <w:rStyle w:val="9"/>
          <w:rFonts w:hint="eastAsia" w:ascii="仿宋" w:hAnsi="仿宋" w:eastAsia="仿宋"/>
          <w:b w:val="0"/>
          <w:color w:val="000000" w:themeColor="text1"/>
        </w:rPr>
        <w:t>：支出</w:t>
      </w:r>
      <w:r>
        <w:rPr>
          <w:rFonts w:ascii="仿宋" w:hAnsi="仿宋" w:eastAsia="仿宋"/>
          <w:color w:val="000000" w:themeColor="text1"/>
        </w:rPr>
        <w:t>决算为</w:t>
      </w:r>
      <w:r>
        <w:rPr>
          <w:rFonts w:hint="eastAsia" w:ascii="仿宋" w:hAnsi="仿宋" w:eastAsia="仿宋"/>
          <w:color w:val="000000" w:themeColor="text1"/>
        </w:rPr>
        <w:t>116.21</w:t>
      </w:r>
      <w:r>
        <w:rPr>
          <w:rFonts w:ascii="仿宋" w:hAnsi="仿宋" w:eastAsia="仿宋"/>
          <w:color w:val="000000" w:themeColor="text1"/>
        </w:rPr>
        <w:t>元，完成预算</w:t>
      </w:r>
      <w:r>
        <w:rPr>
          <w:rFonts w:hint="eastAsia" w:ascii="仿宋" w:hAnsi="仿宋" w:eastAsia="仿宋"/>
          <w:color w:val="000000" w:themeColor="text1"/>
        </w:rPr>
        <w:t>100</w:t>
      </w:r>
      <w:r>
        <w:rPr>
          <w:rFonts w:ascii="仿宋" w:hAnsi="仿宋" w:eastAsia="仿宋"/>
          <w:color w:val="000000" w:themeColor="text1"/>
        </w:rPr>
        <w:t>%。</w:t>
      </w:r>
    </w:p>
    <w:p>
      <w:pPr>
        <w:spacing w:line="600" w:lineRule="exact"/>
        <w:ind w:firstLine="800" w:firstLineChars="250"/>
        <w:rPr>
          <w:rFonts w:ascii="仿宋" w:hAnsi="仿宋" w:eastAsia="仿宋"/>
          <w:color w:val="000000" w:themeColor="text1"/>
        </w:rPr>
      </w:pPr>
      <w:r>
        <w:rPr>
          <w:rFonts w:hint="eastAsia" w:ascii="仿宋" w:hAnsi="仿宋" w:eastAsia="仿宋"/>
          <w:color w:val="000000" w:themeColor="text1"/>
        </w:rPr>
        <w:t>9.</w:t>
      </w:r>
      <w:r>
        <w:rPr>
          <w:rStyle w:val="9"/>
          <w:rFonts w:hint="eastAsia" w:ascii="仿宋" w:hAnsi="仿宋" w:eastAsia="仿宋"/>
          <w:b w:val="0"/>
          <w:color w:val="000000" w:themeColor="text1"/>
        </w:rPr>
        <w:t>社会保障和就业（类）抚恤（款）死亡抚恤</w:t>
      </w:r>
      <w:r>
        <w:rPr>
          <w:rStyle w:val="9"/>
          <w:rFonts w:ascii="仿宋" w:hAnsi="仿宋" w:eastAsia="仿宋"/>
          <w:b w:val="0"/>
          <w:color w:val="000000" w:themeColor="text1"/>
        </w:rPr>
        <w:t>（项）</w:t>
      </w:r>
      <w:r>
        <w:rPr>
          <w:rStyle w:val="9"/>
          <w:rFonts w:hint="eastAsia" w:ascii="仿宋" w:hAnsi="仿宋" w:eastAsia="仿宋"/>
          <w:b w:val="0"/>
          <w:color w:val="000000" w:themeColor="text1"/>
        </w:rPr>
        <w:t>：支出</w:t>
      </w:r>
      <w:r>
        <w:rPr>
          <w:rFonts w:ascii="仿宋" w:hAnsi="仿宋" w:eastAsia="仿宋"/>
          <w:color w:val="000000" w:themeColor="text1"/>
        </w:rPr>
        <w:t>决算为</w:t>
      </w:r>
      <w:r>
        <w:rPr>
          <w:rFonts w:hint="eastAsia" w:ascii="仿宋" w:hAnsi="仿宋" w:eastAsia="仿宋"/>
          <w:color w:val="000000" w:themeColor="text1"/>
        </w:rPr>
        <w:t>18.75</w:t>
      </w:r>
      <w:r>
        <w:rPr>
          <w:rFonts w:ascii="仿宋" w:hAnsi="仿宋" w:eastAsia="仿宋"/>
          <w:color w:val="000000" w:themeColor="text1"/>
        </w:rPr>
        <w:t>元，完成预算</w:t>
      </w:r>
      <w:r>
        <w:rPr>
          <w:rFonts w:hint="eastAsia" w:ascii="仿宋" w:hAnsi="仿宋" w:eastAsia="仿宋"/>
          <w:color w:val="000000" w:themeColor="text1"/>
        </w:rPr>
        <w:t>100</w:t>
      </w:r>
      <w:r>
        <w:rPr>
          <w:rFonts w:ascii="仿宋" w:hAnsi="仿宋" w:eastAsia="仿宋"/>
          <w:color w:val="000000" w:themeColor="text1"/>
        </w:rPr>
        <w:t>%。</w:t>
      </w:r>
    </w:p>
    <w:p>
      <w:pPr>
        <w:spacing w:line="600" w:lineRule="exact"/>
        <w:ind w:firstLine="640" w:firstLineChars="200"/>
        <w:rPr>
          <w:rStyle w:val="9"/>
          <w:rFonts w:ascii="仿宋" w:hAnsi="仿宋" w:eastAsia="仿宋"/>
          <w:b w:val="0"/>
          <w:color w:val="000000" w:themeColor="text1"/>
        </w:rPr>
      </w:pPr>
      <w:r>
        <w:rPr>
          <w:rStyle w:val="9"/>
          <w:rFonts w:hint="eastAsia" w:ascii="仿宋" w:hAnsi="仿宋" w:eastAsia="仿宋"/>
          <w:b w:val="0"/>
          <w:color w:val="000000" w:themeColor="text1"/>
        </w:rPr>
        <w:t xml:space="preserve">10.医疗卫生与计划生育（类）行政事业单位医疗（款）行政单位医疗（项）:支出决算为48.69万元，完成预算100%。 </w:t>
      </w:r>
    </w:p>
    <w:p>
      <w:pPr>
        <w:spacing w:line="600" w:lineRule="exact"/>
        <w:ind w:firstLine="640" w:firstLineChars="200"/>
        <w:rPr>
          <w:rStyle w:val="9"/>
          <w:rFonts w:ascii="仿宋" w:hAnsi="仿宋" w:eastAsia="仿宋"/>
          <w:b w:val="0"/>
          <w:color w:val="000000" w:themeColor="text1"/>
        </w:rPr>
      </w:pPr>
      <w:r>
        <w:rPr>
          <w:rStyle w:val="9"/>
          <w:rFonts w:hint="eastAsia" w:ascii="仿宋" w:hAnsi="仿宋" w:eastAsia="仿宋"/>
          <w:b w:val="0"/>
          <w:color w:val="000000" w:themeColor="text1"/>
        </w:rPr>
        <w:t>11. 医疗卫生与计划生育（类）行政事业单位医疗</w:t>
      </w:r>
      <w:r>
        <w:rPr>
          <w:rStyle w:val="9"/>
          <w:rFonts w:ascii="仿宋" w:hAnsi="仿宋" w:eastAsia="仿宋"/>
          <w:b w:val="0"/>
          <w:color w:val="000000" w:themeColor="text1"/>
        </w:rPr>
        <w:t>（款）</w:t>
      </w:r>
      <w:r>
        <w:rPr>
          <w:rStyle w:val="9"/>
          <w:rFonts w:hint="eastAsia" w:ascii="仿宋" w:hAnsi="仿宋" w:eastAsia="仿宋"/>
          <w:b w:val="0"/>
          <w:color w:val="000000" w:themeColor="text1"/>
        </w:rPr>
        <w:t>事业单位医疗</w:t>
      </w:r>
      <w:r>
        <w:rPr>
          <w:rStyle w:val="9"/>
          <w:rFonts w:ascii="仿宋" w:hAnsi="仿宋" w:eastAsia="仿宋"/>
          <w:b w:val="0"/>
          <w:color w:val="000000" w:themeColor="text1"/>
        </w:rPr>
        <w:t>（项）</w:t>
      </w:r>
      <w:r>
        <w:rPr>
          <w:rStyle w:val="9"/>
          <w:rFonts w:hint="eastAsia" w:ascii="仿宋" w:hAnsi="仿宋" w:eastAsia="仿宋"/>
          <w:b w:val="0"/>
          <w:color w:val="000000" w:themeColor="text1"/>
        </w:rPr>
        <w:t xml:space="preserve">：支出决算为4.05万元，完成预算100%。 </w:t>
      </w:r>
    </w:p>
    <w:p>
      <w:pPr>
        <w:spacing w:line="600" w:lineRule="exact"/>
        <w:ind w:firstLine="640" w:firstLineChars="200"/>
        <w:rPr>
          <w:rStyle w:val="9"/>
          <w:rFonts w:ascii="仿宋" w:hAnsi="仿宋" w:eastAsia="仿宋"/>
          <w:b w:val="0"/>
          <w:color w:val="000000" w:themeColor="text1"/>
        </w:rPr>
      </w:pPr>
      <w:r>
        <w:rPr>
          <w:rStyle w:val="9"/>
          <w:rFonts w:hint="eastAsia" w:ascii="仿宋" w:hAnsi="仿宋" w:eastAsia="仿宋"/>
          <w:b w:val="0"/>
          <w:color w:val="000000" w:themeColor="text1"/>
        </w:rPr>
        <w:t>12.农林水（类）水利（款）其他水利（项）：支出决算为5万元，完成预算100%。</w:t>
      </w:r>
    </w:p>
    <w:p>
      <w:pPr>
        <w:spacing w:line="600" w:lineRule="exact"/>
        <w:ind w:firstLine="640" w:firstLineChars="200"/>
        <w:rPr>
          <w:rFonts w:ascii="仿宋" w:hAnsi="仿宋" w:eastAsia="仿宋"/>
          <w:color w:val="000000" w:themeColor="text1"/>
        </w:rPr>
      </w:pPr>
      <w:r>
        <w:rPr>
          <w:rStyle w:val="9"/>
          <w:rFonts w:hint="eastAsia" w:ascii="仿宋" w:hAnsi="仿宋" w:eastAsia="仿宋"/>
          <w:b w:val="0"/>
          <w:color w:val="000000" w:themeColor="text1"/>
        </w:rPr>
        <w:t>13.住房保障</w:t>
      </w:r>
      <w:r>
        <w:rPr>
          <w:rStyle w:val="9"/>
          <w:rFonts w:ascii="仿宋" w:hAnsi="仿宋" w:eastAsia="仿宋"/>
          <w:b w:val="0"/>
          <w:color w:val="000000" w:themeColor="text1"/>
        </w:rPr>
        <w:t>（类）</w:t>
      </w:r>
      <w:r>
        <w:rPr>
          <w:rStyle w:val="9"/>
          <w:rFonts w:hint="eastAsia" w:ascii="仿宋" w:hAnsi="仿宋" w:eastAsia="仿宋"/>
          <w:b w:val="0"/>
          <w:color w:val="000000" w:themeColor="text1"/>
        </w:rPr>
        <w:t>住房改革</w:t>
      </w:r>
      <w:r>
        <w:rPr>
          <w:rStyle w:val="9"/>
          <w:rFonts w:ascii="仿宋" w:hAnsi="仿宋" w:eastAsia="仿宋"/>
          <w:b w:val="0"/>
          <w:color w:val="000000" w:themeColor="text1"/>
        </w:rPr>
        <w:t>（款）</w:t>
      </w:r>
      <w:r>
        <w:rPr>
          <w:rStyle w:val="9"/>
          <w:rFonts w:hint="eastAsia" w:ascii="仿宋" w:hAnsi="仿宋" w:eastAsia="仿宋"/>
          <w:b w:val="0"/>
          <w:color w:val="000000" w:themeColor="text1"/>
        </w:rPr>
        <w:t>住房公积金</w:t>
      </w:r>
      <w:r>
        <w:rPr>
          <w:rStyle w:val="9"/>
          <w:rFonts w:ascii="仿宋" w:hAnsi="仿宋" w:eastAsia="仿宋"/>
          <w:b w:val="0"/>
          <w:color w:val="000000" w:themeColor="text1"/>
        </w:rPr>
        <w:t>（项）</w:t>
      </w:r>
      <w:r>
        <w:rPr>
          <w:rStyle w:val="9"/>
          <w:rFonts w:hint="eastAsia" w:ascii="仿宋" w:hAnsi="仿宋" w:eastAsia="仿宋"/>
          <w:b w:val="0"/>
          <w:color w:val="000000" w:themeColor="text1"/>
        </w:rPr>
        <w:t>：</w:t>
      </w:r>
      <w:r>
        <w:rPr>
          <w:rFonts w:hint="eastAsia" w:ascii="仿宋" w:hAnsi="仿宋" w:eastAsia="仿宋"/>
          <w:color w:val="000000" w:themeColor="text1"/>
        </w:rPr>
        <w:t>支出</w:t>
      </w:r>
      <w:r>
        <w:rPr>
          <w:rFonts w:ascii="仿宋" w:hAnsi="仿宋" w:eastAsia="仿宋"/>
          <w:color w:val="000000" w:themeColor="text1"/>
        </w:rPr>
        <w:t>决算为</w:t>
      </w:r>
      <w:r>
        <w:rPr>
          <w:rFonts w:hint="eastAsia" w:ascii="仿宋" w:hAnsi="仿宋" w:eastAsia="仿宋"/>
          <w:color w:val="000000" w:themeColor="text1"/>
        </w:rPr>
        <w:t>62.53</w:t>
      </w:r>
      <w:r>
        <w:rPr>
          <w:rFonts w:ascii="仿宋" w:hAnsi="仿宋" w:eastAsia="仿宋"/>
          <w:color w:val="000000" w:themeColor="text1"/>
        </w:rPr>
        <w:t>万元，完成预算</w:t>
      </w:r>
      <w:r>
        <w:rPr>
          <w:rFonts w:hint="eastAsia" w:ascii="仿宋" w:hAnsi="仿宋" w:eastAsia="仿宋"/>
          <w:color w:val="000000" w:themeColor="text1"/>
        </w:rPr>
        <w:t>100</w:t>
      </w:r>
      <w:r>
        <w:rPr>
          <w:rFonts w:ascii="仿宋" w:hAnsi="仿宋" w:eastAsia="仿宋"/>
          <w:color w:val="000000" w:themeColor="text1"/>
        </w:rPr>
        <w:t>%</w:t>
      </w:r>
      <w:r>
        <w:rPr>
          <w:rFonts w:hint="eastAsia" w:ascii="仿宋" w:hAnsi="仿宋" w:eastAsia="仿宋"/>
          <w:color w:val="000000" w:themeColor="text1"/>
        </w:rPr>
        <w:t>。</w:t>
      </w:r>
    </w:p>
    <w:p>
      <w:pPr>
        <w:spacing w:line="600" w:lineRule="exact"/>
        <w:ind w:firstLine="640"/>
        <w:rPr>
          <w:rFonts w:ascii="黑体" w:eastAsia="黑体"/>
          <w:color w:val="000000"/>
        </w:rPr>
      </w:pPr>
      <w:r>
        <w:rPr>
          <w:rFonts w:hint="eastAsia" w:ascii="黑体" w:eastAsia="黑体"/>
          <w:color w:val="000000"/>
        </w:rPr>
        <w:t>六、一般公共预算财政拨款基本支出决算情况说明</w:t>
      </w:r>
    </w:p>
    <w:p>
      <w:pPr>
        <w:spacing w:line="600" w:lineRule="exact"/>
        <w:ind w:firstLine="645"/>
        <w:rPr>
          <w:rFonts w:ascii="仿宋" w:hAnsi="仿宋" w:eastAsia="仿宋"/>
          <w:color w:val="000000"/>
        </w:rPr>
      </w:pPr>
      <w:r>
        <w:rPr>
          <w:rFonts w:hint="eastAsia" w:ascii="仿宋" w:hAnsi="仿宋" w:eastAsia="仿宋"/>
          <w:color w:val="000000"/>
        </w:rPr>
        <w:t>2017年度一般公共预算财政拨款基本支出1536.29万元，其中：</w:t>
      </w:r>
    </w:p>
    <w:p>
      <w:pPr>
        <w:spacing w:line="600" w:lineRule="exact"/>
        <w:ind w:firstLine="645"/>
        <w:rPr>
          <w:rFonts w:ascii="仿宋" w:hAnsi="仿宋" w:eastAsia="仿宋"/>
          <w:color w:val="000000"/>
        </w:rPr>
      </w:pPr>
      <w:r>
        <w:rPr>
          <w:rFonts w:hint="eastAsia" w:ascii="仿宋" w:hAnsi="仿宋" w:eastAsia="仿宋"/>
          <w:color w:val="000000"/>
        </w:rPr>
        <w:t>人员经费1323.99万元，主要包括：基本工资、津贴补贴、奖金、其他社会保障缴费、绩效工资、机关事业单位基本养老保险缴费、其他工资福利支出、抚恤金、生活补助、医疗费、住房公积金、其他对个人和家庭的补助支出等。</w:t>
      </w:r>
      <w:r>
        <w:rPr>
          <w:rFonts w:hint="eastAsia" w:ascii="仿宋" w:hAnsi="仿宋" w:eastAsia="仿宋"/>
          <w:color w:val="000000"/>
        </w:rPr>
        <w:br w:type="textWrapping"/>
      </w:r>
      <w:r>
        <w:rPr>
          <w:rFonts w:hint="eastAsia" w:ascii="仿宋" w:hAnsi="仿宋" w:eastAsia="仿宋"/>
          <w:color w:val="000000"/>
        </w:rPr>
        <w:t>　　公用经费212.30万元，主要包括：办公费、印刷费、手续费、邮电费、差旅费、维修（护）费、会议费、培训费、劳务费、委托业务费、工会经费、福利费、其他交通费、其他商品和服务支出等。</w:t>
      </w:r>
    </w:p>
    <w:p>
      <w:pPr>
        <w:spacing w:line="600" w:lineRule="exact"/>
        <w:ind w:firstLine="640"/>
        <w:rPr>
          <w:rFonts w:ascii="黑体" w:eastAsia="黑体"/>
          <w:color w:val="000000"/>
        </w:rPr>
      </w:pPr>
      <w:r>
        <w:rPr>
          <w:rFonts w:hint="eastAsia" w:ascii="黑体" w:eastAsia="黑体"/>
          <w:color w:val="000000"/>
        </w:rPr>
        <w:t>七、“三公”经费财政拨款支出决算情况说明</w:t>
      </w:r>
    </w:p>
    <w:p>
      <w:pPr>
        <w:spacing w:line="600" w:lineRule="exact"/>
        <w:ind w:firstLine="640"/>
        <w:rPr>
          <w:rFonts w:ascii="仿宋" w:hAnsi="仿宋" w:eastAsia="仿宋"/>
          <w:color w:val="000000"/>
        </w:rPr>
      </w:pPr>
      <w:r>
        <w:rPr>
          <w:rFonts w:hint="eastAsia" w:ascii="仿宋" w:hAnsi="仿宋" w:eastAsia="仿宋"/>
          <w:color w:val="000000"/>
        </w:rPr>
        <w:t>（一）“三公”经费财政拨款支出决算总体情况说明</w:t>
      </w:r>
    </w:p>
    <w:p>
      <w:pPr>
        <w:spacing w:line="600" w:lineRule="exact"/>
        <w:ind w:firstLine="640"/>
        <w:rPr>
          <w:rFonts w:ascii="仿宋" w:hAnsi="仿宋" w:eastAsia="仿宋"/>
          <w:color w:val="000000" w:themeColor="text1"/>
        </w:rPr>
      </w:pPr>
      <w:r>
        <w:rPr>
          <w:rFonts w:hint="eastAsia" w:ascii="仿宋" w:hAnsi="仿宋" w:eastAsia="仿宋"/>
          <w:color w:val="000000" w:themeColor="text1"/>
        </w:rPr>
        <w:t>2017年度“三公”经费财政拨款支出决算为24.46万元，完成预算100%。</w:t>
      </w:r>
    </w:p>
    <w:p>
      <w:pPr>
        <w:spacing w:line="600" w:lineRule="exact"/>
        <w:ind w:firstLine="640"/>
        <w:rPr>
          <w:rFonts w:ascii="仿宋" w:hAnsi="仿宋" w:eastAsia="仿宋"/>
          <w:color w:val="000000"/>
        </w:rPr>
      </w:pPr>
      <w:r>
        <w:rPr>
          <w:rFonts w:hint="eastAsia" w:ascii="仿宋" w:hAnsi="仿宋" w:eastAsia="仿宋"/>
          <w:color w:val="000000"/>
        </w:rPr>
        <w:t>（二）“三公”经费财政拨款支出决算具体情况说明</w:t>
      </w:r>
    </w:p>
    <w:p>
      <w:pPr>
        <w:spacing w:line="600" w:lineRule="exact"/>
        <w:ind w:firstLine="640"/>
        <w:rPr>
          <w:rFonts w:ascii="仿宋" w:hAnsi="仿宋" w:eastAsia="仿宋"/>
          <w:color w:val="000000"/>
          <w:highlight w:val="yellow"/>
        </w:rPr>
      </w:pPr>
      <w:r>
        <w:rPr>
          <w:rFonts w:hint="eastAsia" w:ascii="仿宋" w:hAnsi="仿宋" w:eastAsia="仿宋"/>
          <w:color w:val="000000"/>
        </w:rPr>
        <w:t>2017年度“三公”经费财政拨款支出决算中，</w:t>
      </w:r>
      <w:r>
        <w:rPr>
          <w:rFonts w:ascii="仿宋" w:hAnsi="仿宋" w:eastAsia="仿宋"/>
          <w:color w:val="000000"/>
        </w:rPr>
        <w:t>因公出国（境）费支出决算</w:t>
      </w:r>
      <w:r>
        <w:rPr>
          <w:rFonts w:hint="eastAsia" w:ascii="仿宋" w:hAnsi="仿宋" w:eastAsia="仿宋"/>
          <w:color w:val="000000"/>
        </w:rPr>
        <w:t>0</w:t>
      </w:r>
      <w:r>
        <w:rPr>
          <w:rFonts w:ascii="仿宋" w:hAnsi="仿宋" w:eastAsia="仿宋"/>
          <w:color w:val="000000"/>
        </w:rPr>
        <w:t>万元</w:t>
      </w:r>
      <w:r>
        <w:rPr>
          <w:rFonts w:hint="eastAsia" w:ascii="仿宋" w:hAnsi="仿宋" w:eastAsia="仿宋"/>
          <w:color w:val="000000"/>
        </w:rPr>
        <w:t>，占0%；公务用车购置及运行维护费支出决算6.41万元，占26.21%；公务接待费支出决算18.05万元，占73.79%。具体情况如下：</w:t>
      </w:r>
    </w:p>
    <w:p>
      <w:pPr>
        <w:rPr>
          <w:rFonts w:ascii="宋体" w:hAnsi="宋体" w:eastAsia="宋体" w:cs="宋体"/>
          <w:kern w:val="0"/>
          <w:sz w:val="24"/>
          <w:szCs w:val="24"/>
        </w:rPr>
      </w:pPr>
      <w:r>
        <w:rPr>
          <w:rFonts w:hint="eastAsia"/>
        </w:rPr>
        <w:t xml:space="preserve">   </w:t>
      </w:r>
      <w:r>
        <w:rPr>
          <w:rFonts w:ascii="宋体" w:hAnsi="宋体" w:eastAsia="宋体" w:cs="宋体"/>
          <w:kern w:val="0"/>
          <w:sz w:val="24"/>
          <w:szCs w:val="24"/>
        </w:rPr>
        <w:drawing>
          <wp:inline distT="0" distB="0" distL="0" distR="0">
            <wp:extent cx="3759835" cy="1927860"/>
            <wp:effectExtent l="19050" t="0" r="0" b="0"/>
            <wp:docPr id="32" name="图片 32" descr="C:\Users\Administrator\AppData\Roaming\Tencent\Users\529209065\QQ\WinTemp\RichOle\}B%N]HP3YIQ[EC@67WWMRZW.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2" name="图片 32" descr="C:\Users\Administrator\AppData\Roaming\Tencent\Users\529209065\QQ\WinTemp\RichOle\}B%N]HP3YIQ[EC@67WWMRZW.png"/>
                    <pic:cNvPicPr>
                      <a:picLocks noChangeAspect="true" noChangeArrowheads="true"/>
                    </pic:cNvPicPr>
                  </pic:nvPicPr>
                  <pic:blipFill>
                    <a:blip r:embed="rId9" cstate="print"/>
                    <a:srcRect/>
                    <a:stretch>
                      <a:fillRect/>
                    </a:stretch>
                  </pic:blipFill>
                  <pic:spPr>
                    <a:xfrm>
                      <a:off x="0" y="0"/>
                      <a:ext cx="3759859" cy="1927860"/>
                    </a:xfrm>
                    <a:prstGeom prst="rect">
                      <a:avLst/>
                    </a:prstGeom>
                    <a:noFill/>
                    <a:ln w="9525">
                      <a:noFill/>
                      <a:miter lim="800000"/>
                      <a:headEnd/>
                      <a:tailEnd/>
                    </a:ln>
                  </pic:spPr>
                </pic:pic>
              </a:graphicData>
            </a:graphic>
          </wp:inline>
        </w:drawing>
      </w:r>
    </w:p>
    <w:p>
      <w:pPr>
        <w:spacing w:line="600" w:lineRule="exact"/>
        <w:ind w:firstLine="640"/>
        <w:rPr>
          <w:rFonts w:ascii="仿宋" w:hAnsi="仿宋" w:eastAsia="仿宋"/>
          <w:color w:val="000000"/>
        </w:rPr>
      </w:pPr>
      <w:r>
        <w:rPr>
          <w:rFonts w:hint="eastAsia" w:ascii="仿宋" w:hAnsi="仿宋" w:eastAsia="仿宋"/>
          <w:color w:val="000000"/>
        </w:rPr>
        <w:t>1.因公出国（境）经费支出0万元。</w:t>
      </w:r>
      <w:r>
        <w:rPr>
          <w:rFonts w:ascii="仿宋" w:hAnsi="仿宋" w:eastAsia="仿宋"/>
          <w:color w:val="000000"/>
        </w:rPr>
        <w:t>全年安排因公出国（境）团组</w:t>
      </w:r>
      <w:r>
        <w:rPr>
          <w:rFonts w:hint="eastAsia" w:ascii="仿宋" w:hAnsi="仿宋" w:eastAsia="仿宋"/>
          <w:color w:val="000000"/>
        </w:rPr>
        <w:t>0</w:t>
      </w:r>
      <w:r>
        <w:rPr>
          <w:rFonts w:ascii="仿宋" w:hAnsi="仿宋" w:eastAsia="仿宋"/>
          <w:color w:val="000000"/>
        </w:rPr>
        <w:t>次，出国（境）</w:t>
      </w:r>
      <w:r>
        <w:rPr>
          <w:rFonts w:hint="eastAsia" w:ascii="仿宋" w:hAnsi="仿宋" w:eastAsia="仿宋"/>
          <w:color w:val="000000"/>
        </w:rPr>
        <w:t>0</w:t>
      </w:r>
      <w:r>
        <w:rPr>
          <w:rFonts w:ascii="仿宋" w:hAnsi="仿宋" w:eastAsia="仿宋"/>
          <w:color w:val="000000"/>
        </w:rPr>
        <w:t>人。</w:t>
      </w:r>
    </w:p>
    <w:p>
      <w:pPr>
        <w:spacing w:line="600" w:lineRule="exact"/>
        <w:ind w:firstLine="640" w:firstLineChars="200"/>
        <w:rPr>
          <w:rFonts w:ascii="仿宋" w:hAnsi="仿宋" w:eastAsia="仿宋"/>
          <w:color w:val="000000"/>
        </w:rPr>
      </w:pPr>
      <w:r>
        <w:rPr>
          <w:rFonts w:hint="eastAsia" w:ascii="仿宋" w:hAnsi="仿宋" w:eastAsia="仿宋"/>
          <w:color w:val="000000"/>
        </w:rPr>
        <w:t>2.公务用车购置及运行维护费支出6.41万元。其中：</w:t>
      </w:r>
    </w:p>
    <w:p>
      <w:pPr>
        <w:spacing w:line="600" w:lineRule="exact"/>
        <w:ind w:firstLine="640" w:firstLineChars="200"/>
        <w:rPr>
          <w:b/>
          <w:color w:val="000000"/>
        </w:rPr>
      </w:pPr>
      <w:r>
        <w:rPr>
          <w:rFonts w:hint="eastAsia" w:ascii="仿宋" w:hAnsi="仿宋" w:eastAsia="仿宋"/>
          <w:color w:val="000000"/>
        </w:rPr>
        <w:t>公务用车购置支出0万元。</w:t>
      </w:r>
      <w:r>
        <w:rPr>
          <w:rFonts w:ascii="仿宋" w:hAnsi="仿宋" w:eastAsia="仿宋"/>
          <w:color w:val="000000"/>
        </w:rPr>
        <w:t>全年按规定更新购置公务用车</w:t>
      </w:r>
      <w:r>
        <w:rPr>
          <w:rFonts w:hint="eastAsia" w:ascii="仿宋" w:hAnsi="仿宋" w:eastAsia="仿宋"/>
          <w:color w:val="000000"/>
        </w:rPr>
        <w:t>0</w:t>
      </w:r>
      <w:r>
        <w:rPr>
          <w:rFonts w:ascii="仿宋" w:hAnsi="仿宋" w:eastAsia="仿宋"/>
          <w:color w:val="000000"/>
        </w:rPr>
        <w:t>辆</w:t>
      </w:r>
      <w:r>
        <w:rPr>
          <w:rFonts w:hint="eastAsia" w:ascii="仿宋" w:hAnsi="仿宋" w:eastAsia="仿宋"/>
          <w:color w:val="000000"/>
        </w:rPr>
        <w:t>。截至2017年12月底，单位共有公务用车1辆，其中：轿车1辆、</w:t>
      </w:r>
      <w:r>
        <w:rPr>
          <w:rFonts w:ascii="仿宋" w:hAnsi="仿宋" w:eastAsia="仿宋"/>
          <w:color w:val="000000"/>
        </w:rPr>
        <w:t>越野车</w:t>
      </w:r>
      <w:r>
        <w:rPr>
          <w:rFonts w:hint="eastAsia" w:ascii="仿宋" w:hAnsi="仿宋" w:eastAsia="仿宋"/>
          <w:color w:val="000000"/>
        </w:rPr>
        <w:t>0</w:t>
      </w:r>
      <w:r>
        <w:rPr>
          <w:rFonts w:ascii="仿宋" w:hAnsi="仿宋" w:eastAsia="仿宋"/>
          <w:color w:val="000000"/>
        </w:rPr>
        <w:t>辆、载客汽车</w:t>
      </w:r>
      <w:r>
        <w:rPr>
          <w:rFonts w:hint="eastAsia" w:ascii="仿宋" w:hAnsi="仿宋" w:eastAsia="仿宋"/>
          <w:color w:val="000000"/>
        </w:rPr>
        <w:t>0</w:t>
      </w:r>
      <w:r>
        <w:rPr>
          <w:rFonts w:ascii="仿宋" w:hAnsi="仿宋" w:eastAsia="仿宋"/>
          <w:color w:val="000000"/>
        </w:rPr>
        <w:t>辆</w:t>
      </w:r>
      <w:r>
        <w:rPr>
          <w:color w:val="000000"/>
        </w:rPr>
        <w:t>。</w:t>
      </w:r>
    </w:p>
    <w:p>
      <w:pPr>
        <w:spacing w:line="600" w:lineRule="exact"/>
        <w:ind w:firstLine="640"/>
        <w:rPr>
          <w:rFonts w:ascii="仿宋" w:hAnsi="仿宋" w:eastAsia="仿宋"/>
          <w:color w:val="000000"/>
        </w:rPr>
      </w:pPr>
      <w:r>
        <w:rPr>
          <w:rFonts w:hint="eastAsia" w:ascii="仿宋" w:hAnsi="仿宋" w:eastAsia="仿宋"/>
          <w:color w:val="000000"/>
        </w:rPr>
        <w:t>公务用车运行维护费支出6.41万元。主要用于</w:t>
      </w:r>
      <w:r>
        <w:rPr>
          <w:rFonts w:ascii="仿宋" w:hAnsi="仿宋" w:eastAsia="仿宋"/>
        </w:rPr>
        <w:t>保障</w:t>
      </w:r>
      <w:r>
        <w:rPr>
          <w:rFonts w:hint="eastAsia" w:ascii="仿宋" w:hAnsi="仿宋" w:eastAsia="仿宋"/>
        </w:rPr>
        <w:t>铁路建设前期工作、绿色经济发展工作、重大项目管理、价格监督检查、开行贷款、天然气产业发展推进、重大项目稽察、成本监审、价格监测、涉案涉纪价格鉴定、规划工作、推进区域经济</w:t>
      </w:r>
      <w:r>
        <w:rPr>
          <w:rFonts w:hint="eastAsia" w:ascii="仿宋" w:hAnsi="仿宋" w:eastAsia="仿宋"/>
          <w:color w:val="000000"/>
        </w:rPr>
        <w:t>等所需的公务用车燃料费、维修费、过路过桥费、保险费等支出。</w:t>
      </w:r>
    </w:p>
    <w:p>
      <w:pPr>
        <w:spacing w:line="600" w:lineRule="exact"/>
        <w:ind w:firstLine="640"/>
        <w:rPr>
          <w:rFonts w:ascii="仿宋" w:hAnsi="仿宋" w:eastAsia="仿宋"/>
          <w:b/>
          <w:color w:val="000000"/>
        </w:rPr>
      </w:pPr>
      <w:r>
        <w:rPr>
          <w:rFonts w:hint="eastAsia" w:ascii="仿宋" w:hAnsi="仿宋" w:eastAsia="仿宋"/>
          <w:color w:val="000000"/>
        </w:rPr>
        <w:t>公务用车购置及运行维护费支出决算比2016年减少41.94万元，下降86.74%。主要原因是车改后公务用车运行维护费支出减少。</w:t>
      </w:r>
    </w:p>
    <w:p>
      <w:pPr>
        <w:spacing w:line="620" w:lineRule="exact"/>
        <w:ind w:firstLine="640" w:firstLineChars="200"/>
        <w:rPr>
          <w:rFonts w:ascii="仿宋" w:hAnsi="仿宋" w:eastAsia="仿宋"/>
        </w:rPr>
      </w:pPr>
      <w:r>
        <w:rPr>
          <w:rFonts w:hint="eastAsia" w:ascii="仿宋" w:hAnsi="仿宋" w:eastAsia="仿宋"/>
          <w:color w:val="000000"/>
        </w:rPr>
        <w:t>3.公务接待费支出18.05万元。主要用于执行公务、开展业务活动开支的交通费、用餐费等。国内公务接待261批次，1827人次（不包括陪同人员），共计支出18.05万元，具体内容包括：开行贷款0.6万元，铁路建设0.75万元，</w:t>
      </w:r>
      <w:r>
        <w:rPr>
          <w:rFonts w:hint="eastAsia" w:ascii="仿宋" w:hAnsi="仿宋" w:eastAsia="仿宋"/>
        </w:rPr>
        <w:t>全市十三五总体及专项规划1.94万元，重点项目管理1.12万元，绿色经济发展1.8万元，天然气产业发展推进0.4万元，推进区域经济的招商引资0.67万元</w:t>
      </w:r>
      <w:r>
        <w:rPr>
          <w:rFonts w:hint="eastAsia" w:ascii="仿宋" w:hAnsi="仿宋" w:eastAsia="仿宋"/>
          <w:color w:val="000000"/>
        </w:rPr>
        <w:t>，外市州到市交流学习、调研4.05万元，上级部门到我市督导、检查、调研工作6.72万元。</w:t>
      </w:r>
      <w:r>
        <w:rPr>
          <w:rFonts w:hint="eastAsia" w:ascii="仿宋" w:hAnsi="仿宋" w:eastAsia="仿宋"/>
        </w:rPr>
        <w:t xml:space="preserve"> </w:t>
      </w:r>
    </w:p>
    <w:p>
      <w:pPr>
        <w:spacing w:line="600" w:lineRule="exact"/>
        <w:ind w:firstLine="640"/>
        <w:rPr>
          <w:rFonts w:ascii="仿宋" w:hAnsi="仿宋" w:eastAsia="仿宋"/>
          <w:color w:val="FF0000"/>
        </w:rPr>
      </w:pPr>
      <w:r>
        <w:rPr>
          <w:rFonts w:hint="eastAsia" w:ascii="仿宋" w:hAnsi="仿宋" w:eastAsia="仿宋"/>
          <w:color w:val="000000"/>
        </w:rPr>
        <w:t>公务接待费支出决算比2016年减少11.73万元，下降39.39%。主要原因是严格执行中央</w:t>
      </w:r>
      <w:bookmarkStart w:id="0" w:name="_GoBack"/>
      <w:bookmarkEnd w:id="0"/>
      <w:r>
        <w:rPr>
          <w:rFonts w:hint="eastAsia" w:ascii="仿宋" w:hAnsi="仿宋" w:eastAsia="仿宋"/>
          <w:color w:val="000000"/>
        </w:rPr>
        <w:t>八项规定和省、市“十项规定”，厉行节约反对浪费，公务接待费有所减少。</w:t>
      </w:r>
    </w:p>
    <w:p>
      <w:pPr>
        <w:spacing w:line="600" w:lineRule="exact"/>
        <w:ind w:firstLine="640" w:firstLineChars="200"/>
        <w:rPr>
          <w:rFonts w:eastAsia="黑体"/>
          <w:color w:val="000000"/>
        </w:rPr>
      </w:pPr>
      <w:r>
        <w:rPr>
          <w:rFonts w:eastAsia="黑体"/>
          <w:color w:val="000000"/>
        </w:rPr>
        <w:t>八、政府性基金预算支出决算情况说明</w:t>
      </w:r>
    </w:p>
    <w:p>
      <w:pPr>
        <w:spacing w:line="600" w:lineRule="exact"/>
        <w:ind w:firstLine="640" w:firstLineChars="200"/>
        <w:rPr>
          <w:rFonts w:ascii="仿宋" w:hAnsi="仿宋" w:eastAsia="仿宋"/>
          <w:color w:val="4E4342"/>
        </w:rPr>
      </w:pPr>
      <w:r>
        <w:rPr>
          <w:rFonts w:hint="eastAsia" w:ascii="仿宋" w:hAnsi="仿宋" w:eastAsia="仿宋"/>
          <w:color w:val="4E4342"/>
        </w:rPr>
        <w:t>2017年政府性基金预算拨款支出0万元。</w:t>
      </w:r>
    </w:p>
    <w:p>
      <w:pPr>
        <w:spacing w:line="600" w:lineRule="exact"/>
        <w:ind w:firstLine="640" w:firstLineChars="200"/>
        <w:rPr>
          <w:rFonts w:eastAsia="黑体"/>
          <w:color w:val="000000"/>
        </w:rPr>
      </w:pPr>
      <w:r>
        <w:rPr>
          <w:rFonts w:hint="eastAsia" w:ascii="黑体" w:hAnsi="黑体" w:eastAsia="黑体"/>
          <w:color w:val="4E4342"/>
        </w:rPr>
        <w:t>九、</w:t>
      </w:r>
      <w:r>
        <w:rPr>
          <w:rFonts w:eastAsia="黑体"/>
          <w:color w:val="000000"/>
        </w:rPr>
        <w:t>国有资本经营预算支出决算情况说明</w:t>
      </w:r>
    </w:p>
    <w:p>
      <w:pPr>
        <w:spacing w:line="600" w:lineRule="exact"/>
        <w:ind w:firstLine="640" w:firstLineChars="200"/>
        <w:rPr>
          <w:rFonts w:ascii="仿宋" w:hAnsi="仿宋" w:eastAsia="仿宋"/>
          <w:color w:val="000000"/>
        </w:rPr>
      </w:pPr>
      <w:r>
        <w:rPr>
          <w:rFonts w:ascii="仿宋" w:hAnsi="仿宋" w:eastAsia="仿宋"/>
          <w:color w:val="000000"/>
        </w:rPr>
        <w:t>2017年度国有资本经营预算拨款支出</w:t>
      </w:r>
      <w:r>
        <w:rPr>
          <w:rFonts w:hint="eastAsia" w:ascii="仿宋" w:hAnsi="仿宋" w:eastAsia="仿宋"/>
          <w:color w:val="000000"/>
        </w:rPr>
        <w:t>0</w:t>
      </w:r>
      <w:r>
        <w:rPr>
          <w:rFonts w:ascii="仿宋" w:hAnsi="仿宋" w:eastAsia="仿宋"/>
          <w:color w:val="000000"/>
        </w:rPr>
        <w:t>万元。</w:t>
      </w:r>
    </w:p>
    <w:p>
      <w:pPr>
        <w:spacing w:line="600" w:lineRule="exact"/>
        <w:ind w:firstLine="640" w:firstLineChars="200"/>
        <w:rPr>
          <w:rFonts w:ascii="黑体" w:hAnsi="黑体" w:eastAsia="黑体"/>
          <w:color w:val="000000"/>
        </w:rPr>
      </w:pPr>
      <w:r>
        <w:rPr>
          <w:rFonts w:hint="eastAsia" w:ascii="黑体" w:hAnsi="黑体" w:eastAsia="黑体"/>
          <w:color w:val="000000"/>
        </w:rPr>
        <w:t>十、其他重要事项的情况说明</w:t>
      </w:r>
    </w:p>
    <w:p>
      <w:pPr>
        <w:spacing w:line="600" w:lineRule="exact"/>
        <w:ind w:firstLine="640" w:firstLineChars="200"/>
        <w:rPr>
          <w:rFonts w:ascii="仿宋" w:hAnsi="仿宋" w:eastAsia="仿宋"/>
          <w:color w:val="000000"/>
        </w:rPr>
      </w:pPr>
      <w:r>
        <w:rPr>
          <w:rFonts w:hint="eastAsia" w:ascii="仿宋" w:hAnsi="仿宋" w:eastAsia="仿宋"/>
          <w:color w:val="000000"/>
        </w:rPr>
        <w:t>（一）机关运行经费支出情况</w:t>
      </w:r>
    </w:p>
    <w:p>
      <w:pPr>
        <w:spacing w:line="600" w:lineRule="exact"/>
        <w:ind w:firstLine="640" w:firstLineChars="200"/>
        <w:rPr>
          <w:rFonts w:ascii="仿宋" w:hAnsi="仿宋" w:eastAsia="仿宋"/>
          <w:color w:val="000000"/>
        </w:rPr>
      </w:pPr>
      <w:r>
        <w:rPr>
          <w:rFonts w:hint="eastAsia" w:ascii="仿宋" w:hAnsi="仿宋" w:eastAsia="仿宋"/>
          <w:color w:val="000000"/>
        </w:rPr>
        <w:t>2017年度，市发改委机关运行经费支出212.29万元，比2016年增加7.87万元，增长3.85%。</w:t>
      </w:r>
    </w:p>
    <w:p>
      <w:pPr>
        <w:autoSpaceDE w:val="0"/>
        <w:autoSpaceDN w:val="0"/>
        <w:adjustRightInd w:val="0"/>
        <w:spacing w:line="600" w:lineRule="exact"/>
        <w:ind w:firstLine="640" w:firstLineChars="200"/>
        <w:jc w:val="left"/>
        <w:rPr>
          <w:rFonts w:ascii="仿宋" w:hAnsi="仿宋" w:eastAsia="仿宋"/>
          <w:color w:val="000000"/>
        </w:rPr>
      </w:pPr>
      <w:r>
        <w:rPr>
          <w:rFonts w:hint="eastAsia" w:ascii="仿宋" w:hAnsi="仿宋" w:eastAsia="仿宋"/>
          <w:color w:val="000000"/>
        </w:rPr>
        <w:t>（二）政府采购支出情况</w:t>
      </w:r>
    </w:p>
    <w:p>
      <w:pPr>
        <w:spacing w:line="600" w:lineRule="exact"/>
        <w:ind w:firstLine="640" w:firstLineChars="200"/>
        <w:rPr>
          <w:color w:val="000000"/>
        </w:rPr>
      </w:pPr>
      <w:r>
        <w:rPr>
          <w:rFonts w:hint="eastAsia" w:ascii="仿宋" w:hAnsi="仿宋" w:eastAsia="仿宋"/>
          <w:color w:val="000000"/>
        </w:rPr>
        <w:t>2017年度，市发改委政府采购支出总额71.42万元，其中：政府采购货物支出23.42万元、</w:t>
      </w:r>
      <w:r>
        <w:rPr>
          <w:rFonts w:ascii="仿宋" w:hAnsi="仿宋" w:eastAsia="仿宋"/>
          <w:color w:val="000000"/>
        </w:rPr>
        <w:t>政府采购工程支出</w:t>
      </w:r>
      <w:r>
        <w:rPr>
          <w:rFonts w:hint="eastAsia" w:ascii="仿宋" w:hAnsi="仿宋" w:eastAsia="仿宋"/>
          <w:color w:val="000000"/>
        </w:rPr>
        <w:t>0</w:t>
      </w:r>
      <w:r>
        <w:rPr>
          <w:rFonts w:ascii="仿宋" w:hAnsi="仿宋" w:eastAsia="仿宋"/>
          <w:color w:val="000000"/>
        </w:rPr>
        <w:t>万元、</w:t>
      </w:r>
      <w:r>
        <w:rPr>
          <w:rFonts w:hint="eastAsia" w:ascii="仿宋" w:hAnsi="仿宋" w:eastAsia="仿宋"/>
          <w:color w:val="000000"/>
        </w:rPr>
        <w:t>政府采购服务支出48万元。主要用于十三五绿色发展规划编制费，购置电脑、打印机、空调等办公设备。</w:t>
      </w:r>
      <w:r>
        <w:rPr>
          <w:rFonts w:ascii="仿宋" w:hAnsi="仿宋" w:eastAsia="仿宋"/>
          <w:color w:val="000000"/>
        </w:rPr>
        <w:t>授予中小企业合同金额</w:t>
      </w:r>
      <w:r>
        <w:rPr>
          <w:rFonts w:hint="eastAsia" w:ascii="仿宋" w:hAnsi="仿宋" w:eastAsia="仿宋"/>
          <w:color w:val="000000"/>
        </w:rPr>
        <w:t>0</w:t>
      </w:r>
      <w:r>
        <w:rPr>
          <w:rFonts w:ascii="仿宋" w:hAnsi="仿宋" w:eastAsia="仿宋"/>
          <w:color w:val="000000"/>
        </w:rPr>
        <w:t>万元，占政府采购支出总额的</w:t>
      </w:r>
      <w:r>
        <w:rPr>
          <w:rFonts w:hint="eastAsia" w:ascii="仿宋" w:hAnsi="仿宋" w:eastAsia="仿宋"/>
          <w:color w:val="000000"/>
        </w:rPr>
        <w:t>0</w:t>
      </w:r>
      <w:r>
        <w:rPr>
          <w:rFonts w:ascii="仿宋" w:hAnsi="仿宋" w:eastAsia="仿宋"/>
          <w:color w:val="000000"/>
        </w:rPr>
        <w:t>%，其中：授予小微企业合同金额</w:t>
      </w:r>
      <w:r>
        <w:rPr>
          <w:rFonts w:hint="eastAsia" w:ascii="仿宋" w:hAnsi="仿宋" w:eastAsia="仿宋"/>
          <w:color w:val="000000"/>
        </w:rPr>
        <w:t>0</w:t>
      </w:r>
      <w:r>
        <w:rPr>
          <w:rFonts w:ascii="仿宋" w:hAnsi="仿宋" w:eastAsia="仿宋"/>
          <w:color w:val="000000"/>
        </w:rPr>
        <w:t>万元，占政府采购支出总额的</w:t>
      </w:r>
      <w:r>
        <w:rPr>
          <w:rFonts w:hint="eastAsia" w:ascii="仿宋" w:hAnsi="仿宋" w:eastAsia="仿宋"/>
          <w:color w:val="000000"/>
        </w:rPr>
        <w:t>0</w:t>
      </w:r>
      <w:r>
        <w:rPr>
          <w:rFonts w:ascii="仿宋" w:hAnsi="仿宋" w:eastAsia="仿宋"/>
          <w:color w:val="000000"/>
        </w:rPr>
        <w:t>%。</w:t>
      </w:r>
    </w:p>
    <w:p>
      <w:pPr>
        <w:autoSpaceDE w:val="0"/>
        <w:autoSpaceDN w:val="0"/>
        <w:adjustRightInd w:val="0"/>
        <w:spacing w:line="600" w:lineRule="exact"/>
        <w:ind w:firstLine="640" w:firstLineChars="200"/>
        <w:jc w:val="left"/>
        <w:rPr>
          <w:rFonts w:ascii="仿宋" w:hAnsi="仿宋" w:eastAsia="仿宋"/>
          <w:color w:val="000000"/>
        </w:rPr>
      </w:pPr>
      <w:r>
        <w:rPr>
          <w:rFonts w:hint="eastAsia" w:ascii="仿宋" w:hAnsi="仿宋" w:eastAsia="仿宋"/>
          <w:color w:val="000000"/>
        </w:rPr>
        <w:t>（三）国有资产占有使用情况</w:t>
      </w:r>
    </w:p>
    <w:p>
      <w:pPr>
        <w:autoSpaceDE w:val="0"/>
        <w:autoSpaceDN w:val="0"/>
        <w:adjustRightInd w:val="0"/>
        <w:spacing w:line="600" w:lineRule="exact"/>
        <w:ind w:firstLine="640" w:firstLineChars="200"/>
        <w:jc w:val="left"/>
        <w:rPr>
          <w:rFonts w:ascii="仿宋" w:hAnsi="仿宋" w:eastAsia="仿宋"/>
          <w:color w:val="000000"/>
        </w:rPr>
      </w:pPr>
      <w:r>
        <w:rPr>
          <w:rFonts w:hint="eastAsia" w:ascii="仿宋" w:hAnsi="仿宋" w:eastAsia="仿宋"/>
          <w:color w:val="000000"/>
        </w:rPr>
        <w:t>截至2017年12月31日，市发改委共有车辆1辆，其中：</w:t>
      </w:r>
      <w:r>
        <w:rPr>
          <w:rFonts w:ascii="仿宋" w:hAnsi="仿宋" w:eastAsia="仿宋"/>
          <w:color w:val="000000"/>
        </w:rPr>
        <w:t>部级领导干部用车</w:t>
      </w:r>
      <w:r>
        <w:rPr>
          <w:rFonts w:hint="eastAsia" w:ascii="仿宋" w:hAnsi="仿宋" w:eastAsia="仿宋"/>
          <w:color w:val="000000"/>
        </w:rPr>
        <w:t>0</w:t>
      </w:r>
      <w:r>
        <w:rPr>
          <w:rFonts w:ascii="仿宋" w:hAnsi="仿宋" w:eastAsia="仿宋"/>
          <w:color w:val="000000"/>
        </w:rPr>
        <w:t>辆、</w:t>
      </w:r>
      <w:r>
        <w:rPr>
          <w:rFonts w:hint="eastAsia" w:ascii="仿宋" w:hAnsi="仿宋" w:eastAsia="仿宋"/>
          <w:color w:val="000000"/>
        </w:rPr>
        <w:t>一般公务用车1辆、</w:t>
      </w:r>
      <w:r>
        <w:rPr>
          <w:rFonts w:ascii="仿宋" w:hAnsi="仿宋" w:eastAsia="仿宋"/>
          <w:color w:val="000000"/>
        </w:rPr>
        <w:t>一般执法执勤用车</w:t>
      </w:r>
      <w:r>
        <w:rPr>
          <w:rFonts w:hint="eastAsia" w:ascii="仿宋" w:hAnsi="仿宋" w:eastAsia="仿宋"/>
          <w:color w:val="000000"/>
        </w:rPr>
        <w:t>0</w:t>
      </w:r>
      <w:r>
        <w:rPr>
          <w:rFonts w:ascii="仿宋" w:hAnsi="仿宋" w:eastAsia="仿宋"/>
          <w:color w:val="000000"/>
        </w:rPr>
        <w:t>辆、特种专业技术用车</w:t>
      </w:r>
      <w:r>
        <w:rPr>
          <w:rFonts w:hint="eastAsia" w:ascii="仿宋" w:hAnsi="仿宋" w:eastAsia="仿宋"/>
          <w:color w:val="000000"/>
        </w:rPr>
        <w:t>0</w:t>
      </w:r>
      <w:r>
        <w:rPr>
          <w:rFonts w:ascii="仿宋" w:hAnsi="仿宋" w:eastAsia="仿宋"/>
          <w:color w:val="000000"/>
        </w:rPr>
        <w:t>辆、其他用车</w:t>
      </w:r>
      <w:r>
        <w:rPr>
          <w:rFonts w:hint="eastAsia" w:ascii="仿宋" w:hAnsi="仿宋" w:eastAsia="仿宋"/>
          <w:color w:val="000000"/>
        </w:rPr>
        <w:t>0</w:t>
      </w:r>
      <w:r>
        <w:rPr>
          <w:rFonts w:ascii="仿宋" w:hAnsi="仿宋" w:eastAsia="仿宋"/>
          <w:color w:val="000000"/>
        </w:rPr>
        <w:t>辆</w:t>
      </w:r>
      <w:r>
        <w:rPr>
          <w:rFonts w:hint="eastAsia" w:ascii="仿宋" w:hAnsi="仿宋" w:eastAsia="仿宋"/>
          <w:color w:val="000000"/>
        </w:rPr>
        <w:t>；单价50万元以上通用设备0台</w:t>
      </w:r>
      <w:r>
        <w:rPr>
          <w:rFonts w:ascii="仿宋" w:hAnsi="仿宋" w:eastAsia="仿宋"/>
          <w:color w:val="000000"/>
        </w:rPr>
        <w:t>（套），单价100万元以上专用设备</w:t>
      </w:r>
      <w:r>
        <w:rPr>
          <w:rFonts w:hint="eastAsia" w:ascii="仿宋" w:hAnsi="仿宋" w:eastAsia="仿宋"/>
          <w:color w:val="000000"/>
        </w:rPr>
        <w:t>0</w:t>
      </w:r>
      <w:r>
        <w:rPr>
          <w:rFonts w:ascii="仿宋" w:hAnsi="仿宋" w:eastAsia="仿宋"/>
          <w:color w:val="000000"/>
        </w:rPr>
        <w:t>台（套）。</w:t>
      </w:r>
    </w:p>
    <w:p>
      <w:pPr>
        <w:autoSpaceDE w:val="0"/>
        <w:autoSpaceDN w:val="0"/>
        <w:adjustRightInd w:val="0"/>
        <w:spacing w:line="600" w:lineRule="exact"/>
        <w:ind w:firstLine="640" w:firstLineChars="200"/>
        <w:jc w:val="left"/>
        <w:rPr>
          <w:rFonts w:ascii="黑体" w:hAnsi="黑体" w:eastAsia="黑体"/>
          <w:color w:val="000000"/>
        </w:rPr>
      </w:pPr>
      <w:r>
        <w:rPr>
          <w:rFonts w:hint="eastAsia" w:ascii="黑体" w:hAnsi="黑体" w:eastAsia="黑体"/>
          <w:color w:val="000000"/>
        </w:rPr>
        <w:t>（四）预算绩效情况</w:t>
      </w:r>
    </w:p>
    <w:p>
      <w:pPr>
        <w:spacing w:line="600" w:lineRule="atLeast"/>
        <w:ind w:firstLine="640" w:firstLineChars="200"/>
        <w:rPr>
          <w:rFonts w:ascii="仿宋" w:hAnsi="仿宋" w:eastAsia="仿宋"/>
          <w:color w:val="000000"/>
        </w:rPr>
      </w:pPr>
      <w:r>
        <w:rPr>
          <w:rFonts w:hint="eastAsia" w:ascii="仿宋" w:hAnsi="仿宋" w:eastAsia="仿宋"/>
          <w:color w:val="000000"/>
        </w:rPr>
        <w:t>1.绩效目标管理情况。</w:t>
      </w:r>
    </w:p>
    <w:p>
      <w:pPr>
        <w:spacing w:line="600" w:lineRule="atLeast"/>
        <w:ind w:firstLine="640" w:firstLineChars="200"/>
        <w:rPr>
          <w:rFonts w:ascii="仿宋" w:hAnsi="仿宋" w:eastAsia="仿宋"/>
          <w:color w:val="000000"/>
        </w:rPr>
      </w:pPr>
      <w:r>
        <w:rPr>
          <w:rFonts w:hint="eastAsia" w:ascii="仿宋" w:hAnsi="仿宋" w:eastAsia="仿宋"/>
          <w:color w:val="000000"/>
        </w:rPr>
        <w:t>按照预算绩效管理要求，本部门对2017年一般公共预算项目支出开展了绩效目标管理，共编制绩效目标8个，涉及财政资金264万元，覆盖率达到80%。</w:t>
      </w:r>
    </w:p>
    <w:p>
      <w:pPr>
        <w:spacing w:line="600" w:lineRule="atLeast"/>
        <w:ind w:firstLine="640" w:firstLineChars="200"/>
        <w:rPr>
          <w:rFonts w:ascii="仿宋" w:hAnsi="仿宋" w:eastAsia="仿宋"/>
          <w:color w:val="000000"/>
        </w:rPr>
      </w:pPr>
      <w:r>
        <w:rPr>
          <w:rFonts w:hint="eastAsia" w:ascii="仿宋" w:hAnsi="仿宋" w:eastAsia="仿宋"/>
          <w:color w:val="000000"/>
        </w:rPr>
        <w:t>2.部门整体支出绩效自评开展情况。</w:t>
      </w:r>
    </w:p>
    <w:p>
      <w:pPr>
        <w:spacing w:line="560" w:lineRule="exact"/>
        <w:ind w:firstLine="630"/>
        <w:rPr>
          <w:rFonts w:ascii="仿宋" w:hAnsi="仿宋" w:eastAsia="仿宋"/>
        </w:rPr>
      </w:pPr>
      <w:r>
        <w:rPr>
          <w:rFonts w:hint="eastAsia" w:ascii="仿宋" w:hAnsi="仿宋" w:eastAsia="仿宋"/>
          <w:color w:val="000000"/>
        </w:rPr>
        <w:t>按照预算绩效管理要求，本部门对2017年整体支出开展绩效自评，2017年市发改</w:t>
      </w:r>
      <w:r>
        <w:rPr>
          <w:rFonts w:hint="eastAsia" w:ascii="仿宋" w:hAnsi="仿宋" w:eastAsia="仿宋"/>
        </w:rPr>
        <w:t>委预算支出按要求在预算额度内，统筹安排，合理开支，保障日常运行，突出重点工作，机关各项工作有序开展。资金支付审批程序、手续合规、完善，账务处理及时、规范，账表数据真实、一致。按时保质完成财政等部门安排的相关工作，及时公开信息、报送相关资料、报表，</w:t>
      </w:r>
      <w:r>
        <w:rPr>
          <w:rFonts w:hint="eastAsia" w:ascii="仿宋" w:hAnsi="仿宋" w:eastAsia="仿宋"/>
          <w:color w:val="000000"/>
        </w:rPr>
        <w:t>自评得分97.53分，存在的问题：</w:t>
      </w:r>
      <w:r>
        <w:rPr>
          <w:rFonts w:hint="eastAsia" w:ascii="仿宋" w:hAnsi="仿宋" w:eastAsia="仿宋"/>
        </w:rPr>
        <w:t>一是因工作性质外出争取项目、易地扶贫搬迁牵头、项目稽察等任务重，日常公用经费缺口较大；二是因工作需要，我委聘有5名临聘人员，经费不足；三是硬性报刊征订任务重、数量大、费用高。</w:t>
      </w:r>
      <w:r>
        <w:rPr>
          <w:rFonts w:hint="eastAsia" w:ascii="仿宋" w:hAnsi="仿宋" w:eastAsia="仿宋"/>
          <w:color w:val="000000"/>
        </w:rPr>
        <w:t>下一步改进措施：</w:t>
      </w:r>
      <w:r>
        <w:rPr>
          <w:rFonts w:hint="eastAsia" w:ascii="仿宋" w:hAnsi="仿宋" w:eastAsia="仿宋"/>
        </w:rPr>
        <w:t>一是进一步控制日常公用经费支出。二是完善制度，规范资金管理使用，提高资金使用效率。三是在干部职工中加大新《预算法》的学习力度，增强按预算、按计划开支的意识。</w:t>
      </w:r>
    </w:p>
    <w:p>
      <w:pPr>
        <w:jc w:val="center"/>
        <w:rPr>
          <w:rFonts w:ascii="黑体" w:hAnsi="黑体" w:eastAsia="黑体"/>
        </w:rPr>
      </w:pPr>
      <w:r>
        <w:rPr>
          <w:rFonts w:hint="eastAsia" w:ascii="黑体" w:hAnsi="黑体" w:eastAsia="黑体"/>
        </w:rPr>
        <w:t>2017年市级部门整体支出绩效评价得分</w:t>
      </w:r>
    </w:p>
    <w:tbl>
      <w:tblPr>
        <w:tblStyle w:val="6"/>
        <w:tblW w:w="9329" w:type="dxa"/>
        <w:jc w:val="center"/>
        <w:tblLayout w:type="autofit"/>
        <w:tblCellMar>
          <w:top w:w="0" w:type="dxa"/>
          <w:left w:w="108" w:type="dxa"/>
          <w:bottom w:w="0" w:type="dxa"/>
          <w:right w:w="108" w:type="dxa"/>
        </w:tblCellMar>
      </w:tblPr>
      <w:tblGrid>
        <w:gridCol w:w="1060"/>
        <w:gridCol w:w="1060"/>
        <w:gridCol w:w="1578"/>
        <w:gridCol w:w="2313"/>
        <w:gridCol w:w="2580"/>
        <w:gridCol w:w="738"/>
      </w:tblGrid>
      <w:tr>
        <w:tblPrEx>
          <w:tblCellMar>
            <w:top w:w="0" w:type="dxa"/>
            <w:left w:w="108" w:type="dxa"/>
            <w:bottom w:w="0" w:type="dxa"/>
            <w:right w:w="108" w:type="dxa"/>
          </w:tblCellMar>
        </w:tblPrEx>
        <w:trPr>
          <w:trHeight w:val="312" w:hRule="atLeast"/>
          <w:tblHeader/>
          <w:jc w:val="center"/>
        </w:trPr>
        <w:tc>
          <w:tcPr>
            <w:tcW w:w="10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b/>
                <w:bCs/>
                <w:kern w:val="0"/>
                <w:sz w:val="20"/>
                <w:szCs w:val="20"/>
              </w:rPr>
            </w:pPr>
            <w:r>
              <w:rPr>
                <w:rFonts w:hint="eastAsia" w:ascii="仿宋_GB2312" w:hAnsi="宋体" w:cs="宋体"/>
                <w:b/>
                <w:bCs/>
                <w:kern w:val="0"/>
                <w:sz w:val="20"/>
                <w:szCs w:val="20"/>
              </w:rPr>
              <w:t>一级</w:t>
            </w:r>
          </w:p>
          <w:p>
            <w:pPr>
              <w:widowControl/>
              <w:spacing w:line="240" w:lineRule="exact"/>
              <w:jc w:val="center"/>
              <w:rPr>
                <w:rFonts w:ascii="仿宋_GB2312" w:hAnsi="宋体" w:cs="宋体"/>
                <w:b/>
                <w:bCs/>
                <w:kern w:val="0"/>
                <w:sz w:val="20"/>
                <w:szCs w:val="20"/>
              </w:rPr>
            </w:pPr>
            <w:r>
              <w:rPr>
                <w:rFonts w:hint="eastAsia" w:ascii="仿宋_GB2312" w:hAnsi="宋体" w:cs="宋体"/>
                <w:b/>
                <w:bCs/>
                <w:kern w:val="0"/>
                <w:sz w:val="20"/>
                <w:szCs w:val="20"/>
              </w:rPr>
              <w:t>指标</w:t>
            </w:r>
          </w:p>
        </w:tc>
        <w:tc>
          <w:tcPr>
            <w:tcW w:w="10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b/>
                <w:bCs/>
                <w:kern w:val="0"/>
                <w:sz w:val="20"/>
                <w:szCs w:val="20"/>
              </w:rPr>
            </w:pPr>
            <w:r>
              <w:rPr>
                <w:rFonts w:hint="eastAsia" w:ascii="仿宋_GB2312" w:hAnsi="宋体" w:cs="宋体"/>
                <w:b/>
                <w:bCs/>
                <w:kern w:val="0"/>
                <w:sz w:val="20"/>
                <w:szCs w:val="20"/>
              </w:rPr>
              <w:t>二级</w:t>
            </w:r>
          </w:p>
          <w:p>
            <w:pPr>
              <w:widowControl/>
              <w:spacing w:line="240" w:lineRule="exact"/>
              <w:jc w:val="center"/>
              <w:rPr>
                <w:rFonts w:ascii="仿宋_GB2312" w:hAnsi="宋体" w:cs="宋体"/>
                <w:b/>
                <w:bCs/>
                <w:kern w:val="0"/>
                <w:sz w:val="20"/>
                <w:szCs w:val="20"/>
              </w:rPr>
            </w:pPr>
            <w:r>
              <w:rPr>
                <w:rFonts w:hint="eastAsia" w:ascii="仿宋_GB2312" w:hAnsi="宋体" w:cs="宋体"/>
                <w:b/>
                <w:bCs/>
                <w:kern w:val="0"/>
                <w:sz w:val="20"/>
                <w:szCs w:val="20"/>
              </w:rPr>
              <w:t>指标</w:t>
            </w:r>
          </w:p>
        </w:tc>
        <w:tc>
          <w:tcPr>
            <w:tcW w:w="15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b/>
                <w:bCs/>
                <w:kern w:val="0"/>
                <w:sz w:val="20"/>
                <w:szCs w:val="20"/>
              </w:rPr>
            </w:pPr>
            <w:r>
              <w:rPr>
                <w:rFonts w:hint="eastAsia" w:ascii="仿宋_GB2312" w:hAnsi="宋体" w:cs="宋体"/>
                <w:b/>
                <w:bCs/>
                <w:kern w:val="0"/>
                <w:sz w:val="20"/>
                <w:szCs w:val="20"/>
              </w:rPr>
              <w:t>三级指标</w:t>
            </w:r>
          </w:p>
        </w:tc>
        <w:tc>
          <w:tcPr>
            <w:tcW w:w="23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b/>
                <w:bCs/>
                <w:kern w:val="0"/>
                <w:sz w:val="20"/>
                <w:szCs w:val="20"/>
              </w:rPr>
            </w:pPr>
            <w:r>
              <w:rPr>
                <w:rFonts w:hint="eastAsia" w:ascii="仿宋_GB2312" w:hAnsi="宋体" w:cs="宋体"/>
                <w:b/>
                <w:bCs/>
                <w:kern w:val="0"/>
                <w:sz w:val="20"/>
                <w:szCs w:val="20"/>
              </w:rPr>
              <w:t>指标解释</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b/>
                <w:bCs/>
                <w:kern w:val="0"/>
                <w:sz w:val="20"/>
                <w:szCs w:val="20"/>
              </w:rPr>
            </w:pPr>
            <w:r>
              <w:rPr>
                <w:rFonts w:hint="eastAsia" w:ascii="仿宋_GB2312" w:hAnsi="宋体" w:cs="宋体"/>
                <w:b/>
                <w:bCs/>
                <w:kern w:val="0"/>
                <w:sz w:val="20"/>
                <w:szCs w:val="20"/>
              </w:rPr>
              <w:t>计分标准（备注）</w:t>
            </w:r>
          </w:p>
        </w:tc>
        <w:tc>
          <w:tcPr>
            <w:tcW w:w="738"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宋体" w:hAnsi="宋体" w:eastAsia="宋体" w:cs="宋体"/>
                <w:b/>
                <w:kern w:val="0"/>
                <w:sz w:val="24"/>
                <w:szCs w:val="24"/>
              </w:rPr>
            </w:pPr>
            <w:r>
              <w:rPr>
                <w:rFonts w:hint="eastAsia" w:ascii="仿宋_GB2312" w:hAnsi="宋体" w:cs="宋体"/>
                <w:b/>
                <w:bCs/>
                <w:kern w:val="0"/>
                <w:sz w:val="20"/>
                <w:szCs w:val="20"/>
              </w:rPr>
              <w:t>得分</w:t>
            </w:r>
          </w:p>
        </w:tc>
      </w:tr>
      <w:tr>
        <w:tblPrEx>
          <w:tblCellMar>
            <w:top w:w="0" w:type="dxa"/>
            <w:left w:w="108" w:type="dxa"/>
            <w:bottom w:w="0" w:type="dxa"/>
            <w:right w:w="108" w:type="dxa"/>
          </w:tblCellMar>
        </w:tblPrEx>
        <w:trPr>
          <w:trHeight w:val="930" w:hRule="atLeast"/>
          <w:jc w:val="center"/>
        </w:trPr>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cs="宋体"/>
                <w:kern w:val="0"/>
                <w:sz w:val="20"/>
                <w:szCs w:val="20"/>
              </w:rPr>
            </w:pPr>
            <w:r>
              <w:rPr>
                <w:rFonts w:hint="eastAsia" w:ascii="仿宋_GB2312" w:hAnsi="宋体" w:cs="宋体"/>
                <w:kern w:val="0"/>
                <w:sz w:val="20"/>
                <w:szCs w:val="20"/>
              </w:rPr>
              <w:t>预算编制（</w:t>
            </w:r>
            <w:r>
              <w:rPr>
                <w:rFonts w:hint="eastAsia" w:ascii="宋体" w:hAnsi="宋体" w:eastAsia="宋体" w:cs="宋体"/>
                <w:kern w:val="0"/>
                <w:sz w:val="20"/>
                <w:szCs w:val="20"/>
              </w:rPr>
              <w:t>10</w:t>
            </w:r>
            <w:r>
              <w:rPr>
                <w:rFonts w:hint="eastAsia" w:ascii="仿宋_GB2312" w:hAnsi="宋体" w:cs="宋体"/>
                <w:kern w:val="0"/>
                <w:sz w:val="20"/>
                <w:szCs w:val="20"/>
              </w:rPr>
              <w:t>分）</w:t>
            </w:r>
          </w:p>
        </w:tc>
        <w:tc>
          <w:tcPr>
            <w:tcW w:w="106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报送时效（</w:t>
            </w:r>
            <w:r>
              <w:rPr>
                <w:rFonts w:hint="eastAsia" w:ascii="宋体" w:hAnsi="宋体" w:eastAsia="宋体" w:cs="宋体"/>
                <w:kern w:val="0"/>
                <w:sz w:val="20"/>
                <w:szCs w:val="20"/>
              </w:rPr>
              <w:t>1</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基础信息更新（</w:t>
            </w:r>
            <w:r>
              <w:rPr>
                <w:rFonts w:hint="eastAsia" w:ascii="宋体" w:hAnsi="宋体" w:eastAsia="宋体" w:cs="宋体"/>
                <w:kern w:val="0"/>
                <w:sz w:val="20"/>
                <w:szCs w:val="20"/>
              </w:rPr>
              <w:t>1</w:t>
            </w:r>
            <w:r>
              <w:rPr>
                <w:rFonts w:hint="eastAsia" w:ascii="仿宋_GB2312" w:hAnsi="宋体" w:cs="宋体"/>
                <w:kern w:val="0"/>
                <w:sz w:val="20"/>
                <w:szCs w:val="20"/>
              </w:rPr>
              <w:t>分）</w:t>
            </w:r>
          </w:p>
        </w:tc>
        <w:tc>
          <w:tcPr>
            <w:tcW w:w="2313"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部门是否按照市级部门预算编制通知和有关要求，按时完成基础库、项目库报送工作</w:t>
            </w:r>
          </w:p>
        </w:tc>
        <w:tc>
          <w:tcPr>
            <w:tcW w:w="258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超过规定</w:t>
            </w:r>
            <w:r>
              <w:rPr>
                <w:rFonts w:hint="eastAsia" w:ascii="宋体" w:hAnsi="宋体" w:eastAsia="宋体" w:cs="宋体"/>
                <w:kern w:val="0"/>
                <w:sz w:val="20"/>
                <w:szCs w:val="20"/>
              </w:rPr>
              <w:t>5</w:t>
            </w:r>
            <w:r>
              <w:rPr>
                <w:rFonts w:hint="eastAsia" w:ascii="仿宋_GB2312" w:hAnsi="宋体" w:cs="宋体"/>
                <w:kern w:val="0"/>
                <w:sz w:val="20"/>
                <w:szCs w:val="20"/>
              </w:rPr>
              <w:t>个工作日扣</w:t>
            </w:r>
            <w:r>
              <w:rPr>
                <w:rFonts w:hint="eastAsia" w:ascii="宋体" w:hAnsi="宋体" w:eastAsia="宋体" w:cs="宋体"/>
                <w:kern w:val="0"/>
                <w:sz w:val="20"/>
                <w:szCs w:val="20"/>
              </w:rPr>
              <w:t>0.5</w:t>
            </w:r>
            <w:r>
              <w:rPr>
                <w:rFonts w:hint="eastAsia" w:ascii="仿宋_GB2312" w:hAnsi="宋体" w:cs="宋体"/>
                <w:kern w:val="0"/>
                <w:sz w:val="20"/>
                <w:szCs w:val="20"/>
              </w:rPr>
              <w:t>分，</w:t>
            </w:r>
            <w:r>
              <w:rPr>
                <w:rFonts w:hint="eastAsia" w:ascii="宋体" w:hAnsi="宋体" w:eastAsia="宋体" w:cs="宋体"/>
                <w:kern w:val="0"/>
                <w:sz w:val="20"/>
                <w:szCs w:val="20"/>
              </w:rPr>
              <w:t>10</w:t>
            </w:r>
            <w:r>
              <w:rPr>
                <w:rFonts w:hint="eastAsia" w:ascii="仿宋_GB2312" w:hAnsi="宋体" w:cs="宋体"/>
                <w:kern w:val="0"/>
                <w:sz w:val="20"/>
                <w:szCs w:val="20"/>
              </w:rPr>
              <w:t>个工作日扣</w:t>
            </w:r>
            <w:r>
              <w:rPr>
                <w:rFonts w:hint="eastAsia" w:ascii="宋体" w:hAnsi="宋体" w:eastAsia="宋体" w:cs="宋体"/>
                <w:kern w:val="0"/>
                <w:sz w:val="20"/>
                <w:szCs w:val="20"/>
              </w:rPr>
              <w:t>1</w:t>
            </w:r>
            <w:r>
              <w:rPr>
                <w:rFonts w:hint="eastAsia" w:ascii="仿宋_GB2312" w:hAnsi="宋体" w:cs="宋体"/>
                <w:kern w:val="0"/>
                <w:sz w:val="20"/>
                <w:szCs w:val="20"/>
              </w:rPr>
              <w:t>分，以此类推，直至扣完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r>
              <w:rPr>
                <w:rFonts w:hint="eastAsia" w:ascii="宋体" w:hAnsi="宋体" w:eastAsia="宋体" w:cs="宋体"/>
                <w:kern w:val="0"/>
                <w:sz w:val="24"/>
                <w:szCs w:val="24"/>
              </w:rPr>
              <w:t>　1</w:t>
            </w:r>
          </w:p>
        </w:tc>
      </w:tr>
      <w:tr>
        <w:tblPrEx>
          <w:tblCellMar>
            <w:top w:w="0" w:type="dxa"/>
            <w:left w:w="108" w:type="dxa"/>
            <w:bottom w:w="0" w:type="dxa"/>
            <w:right w:w="108" w:type="dxa"/>
          </w:tblCellMar>
        </w:tblPrEx>
        <w:trPr>
          <w:trHeight w:val="858"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060" w:type="dxa"/>
            <w:vMerge w:val="restart"/>
            <w:tcBorders>
              <w:top w:val="nil"/>
              <w:left w:val="nil"/>
              <w:right w:val="single" w:color="auto" w:sz="4" w:space="0"/>
            </w:tcBorders>
            <w:shd w:val="clear" w:color="auto" w:fill="auto"/>
            <w:vAlign w:val="center"/>
          </w:tcPr>
          <w:p>
            <w:pPr>
              <w:spacing w:line="220" w:lineRule="exact"/>
              <w:jc w:val="left"/>
              <w:rPr>
                <w:rFonts w:ascii="仿宋_GB2312" w:hAnsi="宋体" w:cs="宋体"/>
                <w:kern w:val="0"/>
                <w:sz w:val="20"/>
                <w:szCs w:val="20"/>
              </w:rPr>
            </w:pPr>
            <w:r>
              <w:rPr>
                <w:rFonts w:hint="eastAsia" w:ascii="仿宋_GB2312" w:hAnsi="宋体" w:cs="宋体"/>
                <w:kern w:val="0"/>
                <w:sz w:val="20"/>
                <w:szCs w:val="20"/>
              </w:rPr>
              <w:t>编制质量（</w:t>
            </w:r>
            <w:r>
              <w:rPr>
                <w:rFonts w:hint="eastAsia" w:ascii="宋体" w:hAnsi="宋体" w:eastAsia="宋体" w:cs="宋体"/>
                <w:kern w:val="0"/>
                <w:sz w:val="20"/>
                <w:szCs w:val="20"/>
              </w:rPr>
              <w:t>2</w:t>
            </w:r>
            <w:r>
              <w:rPr>
                <w:rFonts w:hint="eastAsia" w:ascii="仿宋_GB2312" w:hAnsi="宋体" w:cs="宋体"/>
                <w:kern w:val="0"/>
                <w:sz w:val="20"/>
                <w:szCs w:val="20"/>
              </w:rPr>
              <w:t>分）</w:t>
            </w:r>
            <w:r>
              <w:rPr>
                <w:rFonts w:hint="eastAsia" w:ascii="宋体" w:hAnsi="宋体" w:eastAsia="宋体" w:cs="宋体"/>
                <w:kern w:val="0"/>
                <w:sz w:val="24"/>
                <w:szCs w:val="24"/>
              </w:rPr>
              <w:t>　</w:t>
            </w: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预算编制准确（</w:t>
            </w:r>
            <w:r>
              <w:rPr>
                <w:rFonts w:hint="eastAsia" w:ascii="宋体" w:hAnsi="宋体" w:eastAsia="宋体" w:cs="宋体"/>
                <w:kern w:val="0"/>
                <w:sz w:val="20"/>
                <w:szCs w:val="20"/>
              </w:rPr>
              <w:t>1</w:t>
            </w:r>
            <w:r>
              <w:rPr>
                <w:rFonts w:hint="eastAsia" w:ascii="仿宋_GB2312" w:hAnsi="宋体" w:cs="宋体"/>
                <w:kern w:val="0"/>
                <w:sz w:val="20"/>
                <w:szCs w:val="20"/>
              </w:rPr>
              <w:t>分）</w:t>
            </w:r>
          </w:p>
        </w:tc>
        <w:tc>
          <w:tcPr>
            <w:tcW w:w="2313"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（预算资金总来源</w:t>
            </w:r>
            <w:r>
              <w:rPr>
                <w:rFonts w:hint="eastAsia" w:ascii="宋体" w:hAnsi="宋体" w:eastAsia="宋体" w:cs="宋体"/>
                <w:kern w:val="0"/>
                <w:sz w:val="20"/>
                <w:szCs w:val="20"/>
              </w:rPr>
              <w:t>-</w:t>
            </w:r>
            <w:r>
              <w:rPr>
                <w:rFonts w:hint="eastAsia" w:ascii="仿宋_GB2312" w:hAnsi="宋体" w:cs="宋体"/>
                <w:kern w:val="0"/>
                <w:sz w:val="20"/>
                <w:szCs w:val="20"/>
              </w:rPr>
              <w:t>中期评估调整取消资金</w:t>
            </w:r>
            <w:r>
              <w:rPr>
                <w:rFonts w:hint="eastAsia" w:ascii="宋体" w:hAnsi="宋体" w:eastAsia="宋体" w:cs="宋体"/>
                <w:kern w:val="0"/>
                <w:sz w:val="20"/>
                <w:szCs w:val="20"/>
              </w:rPr>
              <w:t>-</w:t>
            </w:r>
            <w:r>
              <w:rPr>
                <w:rFonts w:hint="eastAsia" w:ascii="仿宋_GB2312" w:hAnsi="宋体" w:cs="宋体"/>
                <w:kern w:val="0"/>
                <w:sz w:val="20"/>
                <w:szCs w:val="20"/>
              </w:rPr>
              <w:t>预算结余注销资金）÷预算资金总来源</w:t>
            </w:r>
            <w:r>
              <w:rPr>
                <w:rFonts w:hint="eastAsia" w:ascii="宋体" w:hAnsi="宋体" w:eastAsia="宋体" w:cs="宋体"/>
                <w:kern w:val="0"/>
                <w:sz w:val="20"/>
                <w:szCs w:val="20"/>
              </w:rPr>
              <w:t>*</w:t>
            </w:r>
            <w:r>
              <w:rPr>
                <w:rFonts w:hint="eastAsia" w:ascii="仿宋_GB2312" w:hAnsi="宋体" w:cs="宋体"/>
                <w:kern w:val="0"/>
                <w:sz w:val="20"/>
                <w:szCs w:val="20"/>
              </w:rPr>
              <w:t>指标分值</w:t>
            </w:r>
          </w:p>
        </w:tc>
        <w:tc>
          <w:tcPr>
            <w:tcW w:w="258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其中：预算资金总来源是指市级年初预算与执行中追加预算（不含当年中省专款）总和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r>
              <w:rPr>
                <w:rFonts w:hint="eastAsia" w:ascii="宋体" w:hAnsi="宋体" w:eastAsia="宋体" w:cs="宋体"/>
                <w:kern w:val="0"/>
                <w:sz w:val="24"/>
                <w:szCs w:val="24"/>
              </w:rPr>
              <w:t>　1</w:t>
            </w:r>
          </w:p>
        </w:tc>
      </w:tr>
      <w:tr>
        <w:tblPrEx>
          <w:tblCellMar>
            <w:top w:w="0" w:type="dxa"/>
            <w:left w:w="108" w:type="dxa"/>
            <w:bottom w:w="0" w:type="dxa"/>
            <w:right w:w="108" w:type="dxa"/>
          </w:tblCellMar>
        </w:tblPrEx>
        <w:trPr>
          <w:trHeight w:val="555"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060" w:type="dxa"/>
            <w:vMerge w:val="continue"/>
            <w:tcBorders>
              <w:left w:val="nil"/>
              <w:bottom w:val="single" w:color="auto" w:sz="4" w:space="0"/>
              <w:right w:val="single" w:color="auto" w:sz="4" w:space="0"/>
            </w:tcBorders>
            <w:shd w:val="clear" w:color="auto" w:fill="auto"/>
            <w:vAlign w:val="center"/>
          </w:tcPr>
          <w:p>
            <w:pPr>
              <w:widowControl/>
              <w:spacing w:line="220" w:lineRule="exact"/>
              <w:jc w:val="left"/>
              <w:rPr>
                <w:rFonts w:ascii="宋体" w:hAnsi="宋体" w:eastAsia="宋体" w:cs="宋体"/>
                <w:kern w:val="0"/>
                <w:sz w:val="24"/>
                <w:szCs w:val="24"/>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部门预算审查（</w:t>
            </w:r>
            <w:r>
              <w:rPr>
                <w:rFonts w:hint="eastAsia" w:ascii="宋体" w:hAnsi="宋体" w:eastAsia="宋体" w:cs="宋体"/>
                <w:kern w:val="0"/>
                <w:sz w:val="20"/>
                <w:szCs w:val="20"/>
              </w:rPr>
              <w:t>1</w:t>
            </w:r>
            <w:r>
              <w:rPr>
                <w:rFonts w:hint="eastAsia" w:ascii="仿宋_GB2312" w:hAnsi="宋体" w:cs="宋体"/>
                <w:kern w:val="0"/>
                <w:sz w:val="20"/>
                <w:szCs w:val="20"/>
              </w:rPr>
              <w:t>分）</w:t>
            </w:r>
          </w:p>
        </w:tc>
        <w:tc>
          <w:tcPr>
            <w:tcW w:w="2313"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根据市人大预工委对预算草案审查结果进行考核</w:t>
            </w:r>
          </w:p>
        </w:tc>
        <w:tc>
          <w:tcPr>
            <w:tcW w:w="258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对预工委审查后提出并确需修改的问题，每个问题扣</w:t>
            </w:r>
            <w:r>
              <w:rPr>
                <w:rFonts w:hint="eastAsia" w:ascii="宋体" w:hAnsi="宋体" w:eastAsia="宋体" w:cs="宋体"/>
                <w:kern w:val="0"/>
                <w:sz w:val="20"/>
                <w:szCs w:val="20"/>
              </w:rPr>
              <w:t>0.02</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r>
              <w:rPr>
                <w:rFonts w:hint="eastAsia" w:ascii="宋体" w:hAnsi="宋体" w:eastAsia="宋体" w:cs="宋体"/>
                <w:kern w:val="0"/>
                <w:sz w:val="24"/>
                <w:szCs w:val="24"/>
              </w:rPr>
              <w:t>　1</w:t>
            </w:r>
          </w:p>
        </w:tc>
      </w:tr>
      <w:tr>
        <w:tblPrEx>
          <w:tblCellMar>
            <w:top w:w="0" w:type="dxa"/>
            <w:left w:w="108" w:type="dxa"/>
            <w:bottom w:w="0" w:type="dxa"/>
            <w:right w:w="108" w:type="dxa"/>
          </w:tblCellMar>
        </w:tblPrEx>
        <w:trPr>
          <w:trHeight w:val="757"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060" w:type="dxa"/>
            <w:vMerge w:val="restart"/>
            <w:tcBorders>
              <w:top w:val="nil"/>
              <w:left w:val="nil"/>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绩效目标（</w:t>
            </w:r>
            <w:r>
              <w:rPr>
                <w:rFonts w:hint="eastAsia" w:ascii="宋体" w:hAnsi="宋体" w:eastAsia="宋体" w:cs="宋体"/>
                <w:kern w:val="0"/>
                <w:sz w:val="20"/>
                <w:szCs w:val="20"/>
              </w:rPr>
              <w:t>5</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部门整体绩效目标（</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部门整体绩效目标编制完整、合理</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部门整体绩效目标能完整、合理反映部门年度职责履行情况的得分，否则不得分</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r>
              <w:rPr>
                <w:rFonts w:hint="eastAsia" w:ascii="宋体" w:hAnsi="宋体" w:eastAsia="宋体" w:cs="宋体"/>
                <w:kern w:val="0"/>
                <w:sz w:val="24"/>
                <w:szCs w:val="24"/>
              </w:rPr>
              <w:t>　2</w:t>
            </w:r>
          </w:p>
        </w:tc>
      </w:tr>
      <w:tr>
        <w:tblPrEx>
          <w:tblCellMar>
            <w:top w:w="0" w:type="dxa"/>
            <w:left w:w="108" w:type="dxa"/>
            <w:bottom w:w="0" w:type="dxa"/>
            <w:right w:w="108" w:type="dxa"/>
          </w:tblCellMar>
        </w:tblPrEx>
        <w:trPr>
          <w:trHeight w:val="729"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060" w:type="dxa"/>
            <w:vMerge w:val="continue"/>
            <w:tcBorders>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重点项目绩效目标（</w:t>
            </w:r>
            <w:r>
              <w:rPr>
                <w:rFonts w:hint="eastAsia" w:ascii="宋体" w:hAnsi="宋体" w:eastAsia="宋体" w:cs="宋体"/>
                <w:kern w:val="0"/>
                <w:sz w:val="20"/>
                <w:szCs w:val="20"/>
              </w:rPr>
              <w:t>3</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项目绩效目标编制明确、量化</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项目支出绩效目标编制不明确和量化的发现一个扣</w:t>
            </w:r>
            <w:r>
              <w:rPr>
                <w:rFonts w:hint="eastAsia" w:ascii="宋体" w:hAnsi="宋体" w:eastAsia="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r>
              <w:rPr>
                <w:rFonts w:hint="eastAsia" w:ascii="宋体" w:hAnsi="宋体" w:eastAsia="宋体" w:cs="宋体"/>
                <w:kern w:val="0"/>
                <w:sz w:val="24"/>
                <w:szCs w:val="24"/>
              </w:rPr>
              <w:t>　3</w:t>
            </w:r>
          </w:p>
        </w:tc>
      </w:tr>
      <w:tr>
        <w:tblPrEx>
          <w:tblCellMar>
            <w:top w:w="0" w:type="dxa"/>
            <w:left w:w="108" w:type="dxa"/>
            <w:bottom w:w="0" w:type="dxa"/>
            <w:right w:w="108" w:type="dxa"/>
          </w:tblCellMar>
        </w:tblPrEx>
        <w:trPr>
          <w:trHeight w:val="645"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06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转移支付提前下达</w:t>
            </w: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转移支付提前下达（</w:t>
            </w:r>
            <w:r>
              <w:rPr>
                <w:rFonts w:hint="eastAsia" w:ascii="宋体" w:hAnsi="宋体" w:eastAsia="宋体" w:cs="宋体"/>
                <w:kern w:val="0"/>
                <w:sz w:val="20"/>
                <w:szCs w:val="20"/>
              </w:rPr>
              <w:t>1</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按规定提前下达转移支付</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未按规定提前下达转移支付的，按比例进行扣分。</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813"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06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专项转移支付分地区分项目编制</w:t>
            </w: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专项转移支付分地区分项目编制（</w:t>
            </w:r>
            <w:r>
              <w:rPr>
                <w:rFonts w:hint="eastAsia" w:ascii="宋体" w:hAnsi="宋体" w:eastAsia="宋体" w:cs="宋体"/>
                <w:kern w:val="0"/>
                <w:sz w:val="20"/>
                <w:szCs w:val="20"/>
              </w:rPr>
              <w:t>1</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按规定分地区分项目编制专项转移支付</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未按规定编制的，按比例进行扣分。</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659" w:hRule="atLeast"/>
          <w:jc w:val="center"/>
        </w:trPr>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cs="宋体"/>
                <w:kern w:val="0"/>
                <w:sz w:val="20"/>
                <w:szCs w:val="20"/>
              </w:rPr>
            </w:pPr>
            <w:r>
              <w:rPr>
                <w:rFonts w:hint="eastAsia" w:ascii="仿宋_GB2312" w:hAnsi="宋体" w:cs="宋体"/>
                <w:kern w:val="0"/>
                <w:sz w:val="20"/>
                <w:szCs w:val="20"/>
              </w:rPr>
              <w:t>预算执行（</w:t>
            </w:r>
            <w:r>
              <w:rPr>
                <w:rFonts w:hint="eastAsia" w:ascii="宋体" w:hAnsi="宋体" w:eastAsia="宋体" w:cs="宋体"/>
                <w:kern w:val="0"/>
                <w:sz w:val="20"/>
                <w:szCs w:val="20"/>
              </w:rPr>
              <w:t>20</w:t>
            </w:r>
            <w:r>
              <w:rPr>
                <w:rFonts w:hint="eastAsia" w:ascii="仿宋_GB2312" w:hAnsi="宋体" w:cs="宋体"/>
                <w:kern w:val="0"/>
                <w:sz w:val="20"/>
                <w:szCs w:val="20"/>
              </w:rPr>
              <w:t>分）</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执行进度（</w:t>
            </w:r>
            <w:r>
              <w:rPr>
                <w:rFonts w:hint="eastAsia" w:ascii="宋体" w:hAnsi="宋体" w:eastAsia="宋体" w:cs="宋体"/>
                <w:kern w:val="0"/>
                <w:sz w:val="20"/>
                <w:szCs w:val="20"/>
              </w:rPr>
              <w:t>10</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市级财力专项预算分配时限（</w:t>
            </w:r>
            <w:r>
              <w:rPr>
                <w:rFonts w:hint="eastAsia" w:ascii="宋体" w:hAnsi="宋体" w:eastAsia="宋体" w:cs="宋体"/>
                <w:kern w:val="0"/>
                <w:sz w:val="20"/>
                <w:szCs w:val="20"/>
              </w:rPr>
              <w:t>4</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按规定及时分配市级财力专项预算</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按《预算法》规定时限完成分配的考核得分，否则不得分</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r>
              <w:rPr>
                <w:rFonts w:hint="eastAsia" w:ascii="宋体" w:hAnsi="宋体" w:eastAsia="宋体" w:cs="宋体"/>
                <w:kern w:val="0"/>
                <w:sz w:val="24"/>
                <w:szCs w:val="24"/>
              </w:rPr>
              <w:t>　4</w:t>
            </w:r>
          </w:p>
        </w:tc>
      </w:tr>
      <w:tr>
        <w:tblPrEx>
          <w:tblCellMar>
            <w:top w:w="0" w:type="dxa"/>
            <w:left w:w="108" w:type="dxa"/>
            <w:bottom w:w="0" w:type="dxa"/>
            <w:right w:w="108" w:type="dxa"/>
          </w:tblCellMar>
        </w:tblPrEx>
        <w:trPr>
          <w:trHeight w:val="603"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中省专款分配合规率（</w:t>
            </w:r>
            <w:r>
              <w:rPr>
                <w:rFonts w:hint="eastAsia" w:ascii="宋体" w:hAnsi="宋体" w:eastAsia="宋体" w:cs="宋体"/>
                <w:kern w:val="0"/>
                <w:sz w:val="20"/>
                <w:szCs w:val="20"/>
              </w:rPr>
              <w:t>3</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按《预算法》规定在一个月内分配中、省专款</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w:t>
            </w:r>
            <w:r>
              <w:rPr>
                <w:rFonts w:hint="eastAsia" w:ascii="宋体" w:hAnsi="宋体" w:eastAsia="宋体" w:cs="宋体"/>
                <w:kern w:val="0"/>
                <w:sz w:val="20"/>
                <w:szCs w:val="20"/>
              </w:rPr>
              <w:t>1-</w:t>
            </w:r>
            <w:r>
              <w:rPr>
                <w:rFonts w:hint="eastAsia" w:ascii="仿宋_GB2312" w:hAnsi="宋体" w:cs="宋体"/>
                <w:kern w:val="0"/>
                <w:sz w:val="20"/>
                <w:szCs w:val="20"/>
              </w:rPr>
              <w:t>未按规定时间在</w:t>
            </w:r>
            <w:r>
              <w:rPr>
                <w:rFonts w:hint="eastAsia" w:ascii="宋体" w:hAnsi="宋体" w:eastAsia="宋体" w:cs="宋体"/>
                <w:kern w:val="0"/>
                <w:sz w:val="20"/>
                <w:szCs w:val="20"/>
              </w:rPr>
              <w:t>1</w:t>
            </w:r>
            <w:r>
              <w:rPr>
                <w:rFonts w:hint="eastAsia" w:ascii="仿宋_GB2312" w:hAnsi="宋体" w:cs="宋体"/>
                <w:kern w:val="0"/>
                <w:sz w:val="20"/>
                <w:szCs w:val="20"/>
              </w:rPr>
              <w:t>个月内分配的中省专款规模÷中省专款总规模）</w:t>
            </w:r>
            <w:r>
              <w:rPr>
                <w:rFonts w:hint="eastAsia" w:ascii="宋体" w:hAnsi="宋体" w:eastAsia="宋体" w:cs="宋体"/>
                <w:kern w:val="0"/>
                <w:sz w:val="20"/>
                <w:szCs w:val="20"/>
              </w:rPr>
              <w:t>*</w:t>
            </w:r>
            <w:r>
              <w:rPr>
                <w:rFonts w:hint="eastAsia" w:ascii="仿宋_GB2312" w:hAnsi="宋体" w:cs="宋体"/>
                <w:kern w:val="0"/>
                <w:sz w:val="20"/>
                <w:szCs w:val="20"/>
              </w:rPr>
              <w:t>指标分值</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492"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部门预算执行进度（</w:t>
            </w:r>
            <w:r>
              <w:rPr>
                <w:rFonts w:hint="eastAsia" w:ascii="宋体" w:hAnsi="宋体" w:eastAsia="宋体" w:cs="宋体"/>
                <w:kern w:val="0"/>
                <w:sz w:val="20"/>
                <w:szCs w:val="20"/>
              </w:rPr>
              <w:t>3</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部门按要求严格预算执行管理</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部门预算实际列支数÷部门预算总额</w:t>
            </w:r>
            <w:r>
              <w:rPr>
                <w:rFonts w:hint="eastAsia" w:ascii="宋体" w:hAnsi="宋体" w:eastAsia="宋体" w:cs="宋体"/>
                <w:kern w:val="0"/>
                <w:sz w:val="20"/>
                <w:szCs w:val="20"/>
              </w:rPr>
              <w:t>*</w:t>
            </w:r>
            <w:r>
              <w:rPr>
                <w:rFonts w:hint="eastAsia" w:ascii="仿宋_GB2312" w:hAnsi="宋体" w:cs="宋体"/>
                <w:kern w:val="0"/>
                <w:sz w:val="20"/>
                <w:szCs w:val="20"/>
              </w:rPr>
              <w:t>指标分值</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r>
              <w:rPr>
                <w:rFonts w:hint="eastAsia" w:ascii="宋体" w:hAnsi="宋体" w:eastAsia="宋体" w:cs="宋体"/>
                <w:kern w:val="0"/>
                <w:sz w:val="24"/>
                <w:szCs w:val="24"/>
              </w:rPr>
              <w:t>　3</w:t>
            </w:r>
          </w:p>
        </w:tc>
      </w:tr>
      <w:tr>
        <w:tblPrEx>
          <w:tblCellMar>
            <w:top w:w="0" w:type="dxa"/>
            <w:left w:w="108" w:type="dxa"/>
            <w:bottom w:w="0" w:type="dxa"/>
            <w:right w:w="108" w:type="dxa"/>
          </w:tblCellMar>
        </w:tblPrEx>
        <w:trPr>
          <w:trHeight w:val="883"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06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预算调整（</w:t>
            </w:r>
            <w:r>
              <w:rPr>
                <w:rFonts w:hint="eastAsia" w:ascii="宋体" w:hAnsi="宋体" w:eastAsia="宋体" w:cs="宋体"/>
                <w:kern w:val="0"/>
                <w:sz w:val="20"/>
                <w:szCs w:val="20"/>
              </w:rPr>
              <w:t>4</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执行中期评估（</w:t>
            </w:r>
            <w:r>
              <w:rPr>
                <w:rFonts w:hint="eastAsia" w:ascii="宋体" w:hAnsi="宋体" w:eastAsia="宋体" w:cs="宋体"/>
                <w:kern w:val="0"/>
                <w:sz w:val="20"/>
                <w:szCs w:val="20"/>
              </w:rPr>
              <w:t>4</w:t>
            </w:r>
            <w:r>
              <w:rPr>
                <w:rFonts w:hint="eastAsia" w:ascii="仿宋_GB2312" w:hAnsi="宋体" w:cs="宋体"/>
                <w:kern w:val="0"/>
                <w:sz w:val="20"/>
                <w:szCs w:val="20"/>
              </w:rPr>
              <w:t>分）</w:t>
            </w:r>
          </w:p>
        </w:tc>
        <w:tc>
          <w:tcPr>
            <w:tcW w:w="2313"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部门中期评估调整取消资金÷</w:t>
            </w:r>
            <w:r>
              <w:rPr>
                <w:rFonts w:hint="eastAsia" w:ascii="宋体" w:hAnsi="宋体" w:eastAsia="宋体" w:cs="宋体"/>
                <w:kern w:val="0"/>
                <w:sz w:val="20"/>
                <w:szCs w:val="20"/>
              </w:rPr>
              <w:t>(</w:t>
            </w:r>
            <w:r>
              <w:rPr>
                <w:rFonts w:hint="eastAsia" w:ascii="仿宋_GB2312" w:hAnsi="宋体" w:cs="宋体"/>
                <w:kern w:val="0"/>
                <w:sz w:val="20"/>
                <w:szCs w:val="20"/>
              </w:rPr>
              <w:t>中期评估调整取消资金</w:t>
            </w:r>
            <w:r>
              <w:rPr>
                <w:rFonts w:hint="eastAsia" w:ascii="宋体" w:hAnsi="宋体" w:eastAsia="宋体" w:cs="宋体"/>
                <w:kern w:val="0"/>
                <w:sz w:val="20"/>
                <w:szCs w:val="20"/>
              </w:rPr>
              <w:t>+</w:t>
            </w:r>
            <w:r>
              <w:rPr>
                <w:rFonts w:hint="eastAsia" w:ascii="仿宋_GB2312" w:hAnsi="宋体" w:cs="宋体"/>
                <w:kern w:val="0"/>
                <w:sz w:val="20"/>
                <w:szCs w:val="20"/>
              </w:rPr>
              <w:t>预算结余注销资金）</w:t>
            </w:r>
            <w:r>
              <w:rPr>
                <w:rFonts w:hint="eastAsia" w:ascii="宋体" w:hAnsi="宋体" w:eastAsia="宋体" w:cs="宋体"/>
                <w:kern w:val="0"/>
                <w:sz w:val="20"/>
                <w:szCs w:val="20"/>
              </w:rPr>
              <w:t>*</w:t>
            </w:r>
            <w:r>
              <w:rPr>
                <w:rFonts w:hint="eastAsia" w:ascii="仿宋_GB2312" w:hAnsi="宋体" w:cs="宋体"/>
                <w:kern w:val="0"/>
                <w:sz w:val="20"/>
                <w:szCs w:val="20"/>
              </w:rPr>
              <w:t>指标分值</w:t>
            </w:r>
          </w:p>
        </w:tc>
        <w:tc>
          <w:tcPr>
            <w:tcW w:w="2580"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当中期评估调整取消资金与结余注销资金之和为零时，得满分</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r>
              <w:rPr>
                <w:rFonts w:hint="eastAsia" w:ascii="宋体" w:hAnsi="宋体" w:eastAsia="宋体" w:cs="宋体"/>
                <w:kern w:val="0"/>
                <w:sz w:val="24"/>
                <w:szCs w:val="24"/>
              </w:rPr>
              <w:t>　4</w:t>
            </w:r>
          </w:p>
        </w:tc>
      </w:tr>
      <w:tr>
        <w:tblPrEx>
          <w:tblCellMar>
            <w:top w:w="0" w:type="dxa"/>
            <w:left w:w="108" w:type="dxa"/>
            <w:bottom w:w="0" w:type="dxa"/>
            <w:right w:w="108" w:type="dxa"/>
          </w:tblCellMar>
        </w:tblPrEx>
        <w:trPr>
          <w:trHeight w:val="466"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行政成本（</w:t>
            </w:r>
            <w:r>
              <w:rPr>
                <w:rFonts w:hint="eastAsia" w:ascii="宋体" w:hAnsi="宋体" w:eastAsia="宋体" w:cs="宋体"/>
                <w:kern w:val="0"/>
                <w:sz w:val="20"/>
                <w:szCs w:val="20"/>
              </w:rPr>
              <w:t>6</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节能降耗（</w:t>
            </w:r>
            <w:r>
              <w:rPr>
                <w:rFonts w:hint="eastAsia" w:ascii="宋体" w:hAnsi="宋体" w:eastAsia="宋体" w:cs="宋体"/>
                <w:kern w:val="0"/>
                <w:sz w:val="20"/>
                <w:szCs w:val="20"/>
              </w:rPr>
              <w:t>3</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严格执行节能降耗</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根据机关事务管理局节能考核换算得分</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r>
              <w:rPr>
                <w:rFonts w:hint="eastAsia" w:ascii="宋体" w:hAnsi="宋体" w:eastAsia="宋体" w:cs="宋体"/>
                <w:kern w:val="0"/>
                <w:sz w:val="24"/>
                <w:szCs w:val="24"/>
              </w:rPr>
              <w:t>　3</w:t>
            </w:r>
          </w:p>
        </w:tc>
      </w:tr>
      <w:tr>
        <w:tblPrEx>
          <w:tblCellMar>
            <w:top w:w="0" w:type="dxa"/>
            <w:left w:w="108" w:type="dxa"/>
            <w:bottom w:w="0" w:type="dxa"/>
            <w:right w:w="108" w:type="dxa"/>
          </w:tblCellMar>
        </w:tblPrEx>
        <w:trPr>
          <w:trHeight w:val="662"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2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三公经费（</w:t>
            </w:r>
            <w:r>
              <w:rPr>
                <w:rFonts w:hint="eastAsia" w:ascii="宋体" w:hAnsi="宋体" w:eastAsia="宋体" w:cs="宋体"/>
                <w:kern w:val="0"/>
                <w:sz w:val="20"/>
                <w:szCs w:val="20"/>
              </w:rPr>
              <w:t>3</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严格执行“三公经费”预算</w:t>
            </w:r>
          </w:p>
        </w:tc>
        <w:tc>
          <w:tcPr>
            <w:tcW w:w="2580" w:type="dxa"/>
            <w:tcBorders>
              <w:top w:val="nil"/>
              <w:left w:val="nil"/>
              <w:bottom w:val="single" w:color="auto" w:sz="4" w:space="0"/>
              <w:right w:val="single" w:color="auto" w:sz="4" w:space="0"/>
            </w:tcBorders>
            <w:shd w:val="clear" w:color="auto" w:fill="auto"/>
            <w:vAlign w:val="center"/>
          </w:tcPr>
          <w:p>
            <w:pPr>
              <w:widowControl/>
              <w:spacing w:line="220" w:lineRule="exact"/>
              <w:jc w:val="left"/>
              <w:rPr>
                <w:rFonts w:ascii="仿宋_GB2312" w:hAnsi="宋体" w:cs="宋体"/>
                <w:kern w:val="0"/>
                <w:sz w:val="20"/>
                <w:szCs w:val="20"/>
              </w:rPr>
            </w:pPr>
            <w:r>
              <w:rPr>
                <w:rFonts w:hint="eastAsia" w:ascii="仿宋_GB2312" w:hAnsi="宋体" w:cs="宋体"/>
                <w:kern w:val="0"/>
                <w:sz w:val="20"/>
                <w:szCs w:val="20"/>
              </w:rPr>
              <w:t>部门“三公”经费决算数一项超预算扣</w:t>
            </w:r>
            <w:r>
              <w:rPr>
                <w:rFonts w:hint="eastAsia" w:ascii="宋体" w:hAnsi="宋体" w:eastAsia="宋体" w:cs="宋体"/>
                <w:kern w:val="0"/>
                <w:sz w:val="20"/>
                <w:szCs w:val="20"/>
              </w:rPr>
              <w:t>1</w:t>
            </w:r>
            <w:r>
              <w:rPr>
                <w:rFonts w:hint="eastAsia" w:ascii="仿宋_GB2312" w:hAnsi="宋体" w:cs="宋体"/>
                <w:kern w:val="0"/>
                <w:sz w:val="20"/>
                <w:szCs w:val="20"/>
              </w:rPr>
              <w:t>分，两项超预算扣</w:t>
            </w:r>
            <w:r>
              <w:rPr>
                <w:rFonts w:hint="eastAsia" w:ascii="宋体" w:hAnsi="宋体" w:eastAsia="宋体" w:cs="宋体"/>
                <w:kern w:val="0"/>
                <w:sz w:val="20"/>
                <w:szCs w:val="20"/>
              </w:rPr>
              <w:t>2</w:t>
            </w:r>
            <w:r>
              <w:rPr>
                <w:rFonts w:hint="eastAsia" w:ascii="仿宋_GB2312" w:hAnsi="宋体" w:cs="宋体"/>
                <w:kern w:val="0"/>
                <w:sz w:val="20"/>
                <w:szCs w:val="20"/>
              </w:rPr>
              <w:t>分，以此类推，直至扣完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r>
              <w:rPr>
                <w:rFonts w:hint="eastAsia" w:ascii="宋体" w:hAnsi="宋体" w:eastAsia="宋体" w:cs="宋体"/>
                <w:kern w:val="0"/>
                <w:sz w:val="24"/>
                <w:szCs w:val="24"/>
              </w:rPr>
              <w:t>　3</w:t>
            </w:r>
          </w:p>
        </w:tc>
      </w:tr>
      <w:tr>
        <w:tblPrEx>
          <w:tblCellMar>
            <w:top w:w="0" w:type="dxa"/>
            <w:left w:w="108" w:type="dxa"/>
            <w:bottom w:w="0" w:type="dxa"/>
            <w:right w:w="108" w:type="dxa"/>
          </w:tblCellMar>
        </w:tblPrEx>
        <w:trPr>
          <w:trHeight w:val="716" w:hRule="atLeast"/>
          <w:jc w:val="center"/>
        </w:trPr>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kern w:val="0"/>
                <w:sz w:val="20"/>
                <w:szCs w:val="20"/>
              </w:rPr>
            </w:pPr>
            <w:r>
              <w:rPr>
                <w:rFonts w:hint="eastAsia" w:ascii="仿宋_GB2312" w:hAnsi="宋体" w:cs="宋体"/>
                <w:kern w:val="0"/>
                <w:sz w:val="20"/>
                <w:szCs w:val="20"/>
              </w:rPr>
              <w:t>综合管理（</w:t>
            </w:r>
            <w:r>
              <w:rPr>
                <w:rFonts w:hint="eastAsia" w:ascii="宋体" w:hAnsi="宋体" w:eastAsia="宋体" w:cs="宋体"/>
                <w:kern w:val="0"/>
                <w:sz w:val="20"/>
                <w:szCs w:val="20"/>
              </w:rPr>
              <w:t>40</w:t>
            </w:r>
            <w:r>
              <w:rPr>
                <w:rFonts w:hint="eastAsia" w:ascii="仿宋_GB2312" w:hAnsi="宋体" w:cs="宋体"/>
                <w:kern w:val="0"/>
                <w:sz w:val="20"/>
                <w:szCs w:val="20"/>
              </w:rPr>
              <w:t>分）</w:t>
            </w:r>
          </w:p>
        </w:tc>
        <w:tc>
          <w:tcPr>
            <w:tcW w:w="10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债务管理（</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债务还本付息（</w:t>
            </w:r>
            <w:r>
              <w:rPr>
                <w:rFonts w:hint="eastAsia" w:ascii="宋体" w:hAnsi="宋体" w:eastAsia="宋体" w:cs="宋体"/>
                <w:kern w:val="0"/>
                <w:sz w:val="20"/>
                <w:szCs w:val="20"/>
              </w:rPr>
              <w:t>2</w:t>
            </w:r>
            <w:r>
              <w:rPr>
                <w:rFonts w:hint="eastAsia" w:ascii="仿宋_GB2312" w:hAnsi="宋体" w:cs="宋体"/>
                <w:kern w:val="0"/>
                <w:sz w:val="20"/>
                <w:szCs w:val="20"/>
              </w:rPr>
              <w:t>）</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按规定做好政府性债务还本付息工作</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实际还本付息金额÷应付金额×指标分值</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1443"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非税收入执收情况（</w:t>
            </w:r>
            <w:r>
              <w:rPr>
                <w:rFonts w:hint="eastAsia" w:ascii="宋体" w:hAnsi="宋体" w:eastAsia="宋体" w:cs="宋体"/>
                <w:kern w:val="0"/>
                <w:sz w:val="20"/>
                <w:szCs w:val="20"/>
              </w:rPr>
              <w:t>4</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非税收入征收情况（</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是否按照规定的项目、标准、征收方式执收非税收入，非税收入项目设立的权限和缓减免的依据，对非税收入进行缓减免</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发现有未按规定的非税收入项目、标准执收非税收入或有违反规定缓减免非税收入的，发现一次扣</w:t>
            </w:r>
            <w:r>
              <w:rPr>
                <w:rFonts w:hint="eastAsia" w:ascii="宋体" w:hAnsi="宋体" w:eastAsia="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r>
              <w:rPr>
                <w:rFonts w:hint="eastAsia" w:ascii="宋体" w:hAnsi="宋体" w:eastAsia="宋体" w:cs="宋体"/>
                <w:kern w:val="0"/>
                <w:sz w:val="24"/>
                <w:szCs w:val="24"/>
              </w:rPr>
              <w:t>　2</w:t>
            </w:r>
          </w:p>
        </w:tc>
      </w:tr>
      <w:tr>
        <w:tblPrEx>
          <w:tblCellMar>
            <w:top w:w="0" w:type="dxa"/>
            <w:left w:w="108" w:type="dxa"/>
            <w:bottom w:w="0" w:type="dxa"/>
            <w:right w:w="108" w:type="dxa"/>
          </w:tblCellMar>
        </w:tblPrEx>
        <w:trPr>
          <w:trHeight w:val="1051"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非税收入上缴情况（</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是否及时足额将非税收入缴入财政</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发现未及时足额将非税收入缴入财政的或者截留、挪用非税收入的，发现一次扣</w:t>
            </w:r>
            <w:r>
              <w:rPr>
                <w:rFonts w:hint="eastAsia" w:ascii="宋体" w:hAnsi="宋体" w:eastAsia="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r>
              <w:rPr>
                <w:rFonts w:hint="eastAsia" w:ascii="宋体" w:hAnsi="宋体" w:eastAsia="宋体" w:cs="宋体"/>
                <w:kern w:val="0"/>
                <w:sz w:val="24"/>
                <w:szCs w:val="24"/>
              </w:rPr>
              <w:t>　2</w:t>
            </w:r>
          </w:p>
        </w:tc>
      </w:tr>
      <w:tr>
        <w:tblPrEx>
          <w:tblCellMar>
            <w:top w:w="0" w:type="dxa"/>
            <w:left w:w="108" w:type="dxa"/>
            <w:bottom w:w="0" w:type="dxa"/>
            <w:right w:w="108" w:type="dxa"/>
          </w:tblCellMar>
        </w:tblPrEx>
        <w:trPr>
          <w:trHeight w:val="59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政府采购实施计划（</w:t>
            </w:r>
            <w:r>
              <w:rPr>
                <w:rFonts w:hint="eastAsia" w:ascii="宋体" w:hAnsi="宋体" w:eastAsia="宋体" w:cs="宋体"/>
                <w:kern w:val="0"/>
                <w:sz w:val="20"/>
                <w:szCs w:val="20"/>
              </w:rPr>
              <w:t>4</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政府采购实施计划编制（</w:t>
            </w:r>
            <w:r>
              <w:rPr>
                <w:rFonts w:hint="eastAsia" w:ascii="宋体" w:hAnsi="宋体" w:eastAsia="宋体" w:cs="宋体"/>
                <w:kern w:val="0"/>
                <w:sz w:val="20"/>
                <w:szCs w:val="20"/>
              </w:rPr>
              <w:t>2</w:t>
            </w:r>
            <w:r>
              <w:rPr>
                <w:rFonts w:hint="eastAsia" w:ascii="仿宋_GB2312" w:hAnsi="宋体" w:cs="宋体"/>
                <w:kern w:val="0"/>
                <w:sz w:val="20"/>
                <w:szCs w:val="20"/>
              </w:rPr>
              <w:t>）</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实施计划与政府采购预算的一致性</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w:t>
            </w:r>
            <w:r>
              <w:rPr>
                <w:rFonts w:hint="eastAsia" w:ascii="宋体" w:hAnsi="宋体" w:eastAsia="宋体" w:cs="宋体"/>
                <w:kern w:val="0"/>
                <w:sz w:val="20"/>
                <w:szCs w:val="20"/>
              </w:rPr>
              <w:t>1-</w:t>
            </w:r>
            <w:r>
              <w:rPr>
                <w:rFonts w:hint="eastAsia" w:ascii="仿宋_GB2312" w:hAnsi="宋体" w:cs="宋体"/>
                <w:kern w:val="0"/>
                <w:sz w:val="20"/>
                <w:szCs w:val="20"/>
              </w:rPr>
              <w:t>调整或细化资金</w:t>
            </w:r>
            <w:r>
              <w:rPr>
                <w:rFonts w:hint="eastAsia" w:ascii="宋体" w:hAnsi="宋体" w:eastAsia="宋体" w:cs="宋体"/>
                <w:kern w:val="0"/>
                <w:sz w:val="20"/>
                <w:szCs w:val="20"/>
              </w:rPr>
              <w:t>/</w:t>
            </w:r>
            <w:r>
              <w:rPr>
                <w:rFonts w:hint="eastAsia" w:ascii="仿宋_GB2312" w:hAnsi="宋体" w:cs="宋体"/>
                <w:kern w:val="0"/>
                <w:sz w:val="20"/>
                <w:szCs w:val="20"/>
              </w:rPr>
              <w:t>政府采购预算资金）</w:t>
            </w:r>
            <w:r>
              <w:rPr>
                <w:rFonts w:hint="eastAsia" w:ascii="宋体" w:hAnsi="宋体" w:eastAsia="宋体" w:cs="宋体"/>
                <w:kern w:val="0"/>
                <w:sz w:val="20"/>
                <w:szCs w:val="20"/>
              </w:rPr>
              <w:t>*</w:t>
            </w:r>
            <w:r>
              <w:rPr>
                <w:rFonts w:hint="eastAsia" w:ascii="仿宋_GB2312" w:hAnsi="宋体" w:cs="宋体"/>
                <w:kern w:val="0"/>
                <w:sz w:val="20"/>
                <w:szCs w:val="20"/>
              </w:rPr>
              <w:t>分值</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r>
              <w:rPr>
                <w:rFonts w:hint="eastAsia" w:ascii="宋体" w:hAnsi="宋体" w:eastAsia="宋体" w:cs="宋体"/>
                <w:kern w:val="0"/>
                <w:sz w:val="24"/>
                <w:szCs w:val="24"/>
              </w:rPr>
              <w:t>　2</w:t>
            </w:r>
          </w:p>
        </w:tc>
      </w:tr>
      <w:tr>
        <w:tblPrEx>
          <w:tblCellMar>
            <w:top w:w="0" w:type="dxa"/>
            <w:left w:w="108" w:type="dxa"/>
            <w:bottom w:w="0" w:type="dxa"/>
            <w:right w:w="108" w:type="dxa"/>
          </w:tblCellMar>
        </w:tblPrEx>
        <w:trPr>
          <w:trHeight w:val="896"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政府采购实施计划的执行（</w:t>
            </w:r>
            <w:r>
              <w:rPr>
                <w:rFonts w:hint="eastAsia" w:ascii="宋体" w:hAnsi="宋体" w:eastAsia="宋体" w:cs="宋体"/>
                <w:kern w:val="0"/>
                <w:sz w:val="20"/>
                <w:szCs w:val="20"/>
              </w:rPr>
              <w:t>2</w:t>
            </w:r>
            <w:r>
              <w:rPr>
                <w:rFonts w:hint="eastAsia" w:ascii="仿宋_GB2312" w:hAnsi="宋体" w:cs="宋体"/>
                <w:kern w:val="0"/>
                <w:sz w:val="20"/>
                <w:szCs w:val="20"/>
              </w:rPr>
              <w:t>）</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执行的实施计划与备案的实施计划的一致性</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w:t>
            </w:r>
            <w:r>
              <w:rPr>
                <w:rFonts w:hint="eastAsia" w:ascii="宋体" w:hAnsi="宋体" w:eastAsia="宋体" w:cs="宋体"/>
                <w:kern w:val="0"/>
                <w:sz w:val="20"/>
                <w:szCs w:val="20"/>
              </w:rPr>
              <w:t>1-</w:t>
            </w:r>
            <w:r>
              <w:rPr>
                <w:rFonts w:hint="eastAsia" w:ascii="仿宋_GB2312" w:hAnsi="宋体" w:cs="宋体"/>
                <w:kern w:val="0"/>
                <w:sz w:val="20"/>
                <w:szCs w:val="20"/>
              </w:rPr>
              <w:t>实施计划备案后的调整或细化资金</w:t>
            </w:r>
            <w:r>
              <w:rPr>
                <w:rFonts w:hint="eastAsia" w:ascii="宋体" w:hAnsi="宋体" w:eastAsia="宋体" w:cs="宋体"/>
                <w:kern w:val="0"/>
                <w:sz w:val="20"/>
                <w:szCs w:val="20"/>
              </w:rPr>
              <w:t>/</w:t>
            </w:r>
            <w:r>
              <w:rPr>
                <w:rFonts w:hint="eastAsia" w:ascii="仿宋_GB2312" w:hAnsi="宋体" w:cs="宋体"/>
                <w:kern w:val="0"/>
                <w:sz w:val="20"/>
                <w:szCs w:val="20"/>
              </w:rPr>
              <w:t>实施计划备案后的资金）</w:t>
            </w:r>
            <w:r>
              <w:rPr>
                <w:rFonts w:hint="eastAsia" w:ascii="宋体" w:hAnsi="宋体" w:eastAsia="宋体" w:cs="宋体"/>
                <w:kern w:val="0"/>
                <w:sz w:val="20"/>
                <w:szCs w:val="20"/>
              </w:rPr>
              <w:t>*</w:t>
            </w:r>
            <w:r>
              <w:rPr>
                <w:rFonts w:hint="eastAsia" w:ascii="仿宋_GB2312" w:hAnsi="宋体" w:cs="宋体"/>
                <w:kern w:val="0"/>
                <w:sz w:val="20"/>
                <w:szCs w:val="20"/>
              </w:rPr>
              <w:t>分值</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r>
              <w:rPr>
                <w:rFonts w:hint="eastAsia" w:ascii="宋体" w:hAnsi="宋体" w:eastAsia="宋体" w:cs="宋体"/>
                <w:kern w:val="0"/>
                <w:sz w:val="24"/>
                <w:szCs w:val="24"/>
              </w:rPr>
              <w:t>　2</w:t>
            </w:r>
          </w:p>
        </w:tc>
      </w:tr>
      <w:tr>
        <w:tblPrEx>
          <w:tblCellMar>
            <w:top w:w="0" w:type="dxa"/>
            <w:left w:w="108" w:type="dxa"/>
            <w:bottom w:w="0" w:type="dxa"/>
            <w:right w:w="108" w:type="dxa"/>
          </w:tblCellMar>
        </w:tblPrEx>
        <w:trPr>
          <w:trHeight w:val="1554"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资产管理（</w:t>
            </w:r>
            <w:r>
              <w:rPr>
                <w:rFonts w:hint="eastAsia" w:ascii="宋体" w:hAnsi="宋体" w:eastAsia="宋体" w:cs="宋体"/>
                <w:kern w:val="0"/>
                <w:sz w:val="20"/>
                <w:szCs w:val="20"/>
              </w:rPr>
              <w:t>6</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资产管理信息系统建设情况（</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考核部门和单位将国有资产纳入资产信息系统管理情况</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①未将所属单位国有资产纳入系统管理，每少一个单位扣</w:t>
            </w:r>
            <w:r>
              <w:rPr>
                <w:rFonts w:hint="eastAsia" w:ascii="宋体" w:hAnsi="宋体" w:eastAsia="宋体" w:cs="宋体"/>
                <w:kern w:val="0"/>
                <w:sz w:val="20"/>
                <w:szCs w:val="20"/>
              </w:rPr>
              <w:t>1</w:t>
            </w:r>
            <w:r>
              <w:rPr>
                <w:rFonts w:hint="eastAsia" w:ascii="仿宋_GB2312" w:hAnsi="宋体" w:cs="宋体"/>
                <w:kern w:val="0"/>
                <w:sz w:val="20"/>
                <w:szCs w:val="20"/>
              </w:rPr>
              <w:t>分。②未将资产变动情况及时录入系统，每次扣</w:t>
            </w:r>
            <w:r>
              <w:rPr>
                <w:rFonts w:hint="eastAsia" w:ascii="宋体" w:hAnsi="宋体" w:eastAsia="宋体" w:cs="宋体"/>
                <w:kern w:val="0"/>
                <w:sz w:val="20"/>
                <w:szCs w:val="20"/>
              </w:rPr>
              <w:t>0.5</w:t>
            </w:r>
            <w:r>
              <w:rPr>
                <w:rFonts w:hint="eastAsia" w:ascii="仿宋_GB2312" w:hAnsi="宋体" w:cs="宋体"/>
                <w:kern w:val="0"/>
                <w:sz w:val="20"/>
                <w:szCs w:val="20"/>
              </w:rPr>
              <w:t>分。③未落实人员负责管理系统，扣</w:t>
            </w:r>
            <w:r>
              <w:rPr>
                <w:rFonts w:hint="eastAsia" w:ascii="宋体" w:hAnsi="宋体" w:eastAsia="宋体" w:cs="宋体"/>
                <w:kern w:val="0"/>
                <w:sz w:val="20"/>
                <w:szCs w:val="20"/>
              </w:rPr>
              <w:t>1</w:t>
            </w:r>
            <w:r>
              <w:rPr>
                <w:rFonts w:hint="eastAsia" w:ascii="仿宋_GB2312" w:hAnsi="宋体" w:cs="宋体"/>
                <w:kern w:val="0"/>
                <w:sz w:val="20"/>
                <w:szCs w:val="20"/>
              </w:rPr>
              <w:t>分。</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r>
              <w:rPr>
                <w:rFonts w:hint="eastAsia" w:ascii="宋体" w:hAnsi="宋体" w:eastAsia="宋体" w:cs="宋体"/>
                <w:kern w:val="0"/>
                <w:sz w:val="24"/>
                <w:szCs w:val="24"/>
              </w:rPr>
              <w:t>　2</w:t>
            </w:r>
          </w:p>
        </w:tc>
      </w:tr>
      <w:tr>
        <w:tblPrEx>
          <w:tblCellMar>
            <w:top w:w="0" w:type="dxa"/>
            <w:left w:w="108" w:type="dxa"/>
            <w:bottom w:w="0" w:type="dxa"/>
            <w:right w:w="108" w:type="dxa"/>
          </w:tblCellMar>
        </w:tblPrEx>
        <w:trPr>
          <w:trHeight w:val="2504"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行政事业单位资产清查开展情况（</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考核行政事业单位按要求及时、准确、全面开展资产清查工作情况</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①未在规定时间内完成资产清查任务扣</w:t>
            </w:r>
            <w:r>
              <w:rPr>
                <w:rFonts w:hint="eastAsia" w:ascii="宋体" w:hAnsi="宋体" w:eastAsia="宋体" w:cs="宋体"/>
                <w:kern w:val="0"/>
                <w:sz w:val="20"/>
                <w:szCs w:val="20"/>
              </w:rPr>
              <w:t>1</w:t>
            </w:r>
            <w:r>
              <w:rPr>
                <w:rFonts w:hint="eastAsia" w:ascii="仿宋_GB2312" w:hAnsi="宋体" w:cs="宋体"/>
                <w:kern w:val="0"/>
                <w:sz w:val="20"/>
                <w:szCs w:val="20"/>
              </w:rPr>
              <w:t>分。②资产清查结果与财政组织复核的结果误差超过</w:t>
            </w:r>
            <w:r>
              <w:rPr>
                <w:rFonts w:hint="eastAsia" w:ascii="宋体" w:hAnsi="宋体" w:eastAsia="宋体" w:cs="宋体"/>
                <w:kern w:val="0"/>
                <w:sz w:val="20"/>
                <w:szCs w:val="20"/>
              </w:rPr>
              <w:t>10%</w:t>
            </w:r>
            <w:r>
              <w:rPr>
                <w:rFonts w:hint="eastAsia" w:ascii="仿宋_GB2312" w:hAnsi="宋体" w:cs="宋体"/>
                <w:kern w:val="0"/>
                <w:sz w:val="20"/>
                <w:szCs w:val="20"/>
              </w:rPr>
              <w:t>的扣</w:t>
            </w:r>
            <w:r>
              <w:rPr>
                <w:rFonts w:hint="eastAsia" w:ascii="宋体" w:hAnsi="宋体" w:eastAsia="宋体" w:cs="宋体"/>
                <w:kern w:val="0"/>
                <w:sz w:val="20"/>
                <w:szCs w:val="20"/>
              </w:rPr>
              <w:t>1</w:t>
            </w:r>
            <w:r>
              <w:rPr>
                <w:rFonts w:hint="eastAsia" w:ascii="仿宋_GB2312" w:hAnsi="宋体" w:cs="宋体"/>
                <w:kern w:val="0"/>
                <w:sz w:val="20"/>
                <w:szCs w:val="20"/>
              </w:rPr>
              <w:t>分。③未及时按批复的清查结果进行账务调整扣</w:t>
            </w:r>
            <w:r>
              <w:rPr>
                <w:rFonts w:hint="eastAsia" w:ascii="宋体" w:hAnsi="宋体" w:eastAsia="宋体" w:cs="宋体"/>
                <w:kern w:val="0"/>
                <w:sz w:val="20"/>
                <w:szCs w:val="20"/>
              </w:rPr>
              <w:t>1</w:t>
            </w:r>
            <w:r>
              <w:rPr>
                <w:rFonts w:hint="eastAsia" w:ascii="仿宋_GB2312" w:hAnsi="宋体" w:cs="宋体"/>
                <w:kern w:val="0"/>
                <w:sz w:val="20"/>
                <w:szCs w:val="20"/>
              </w:rPr>
              <w:t>分。④未及时更新资产管理信息系统，导致系统资产数据与上报财政的资产清查结果不一致扣</w:t>
            </w:r>
            <w:r>
              <w:rPr>
                <w:rFonts w:hint="eastAsia" w:ascii="宋体" w:hAnsi="宋体" w:eastAsia="宋体" w:cs="宋体"/>
                <w:kern w:val="0"/>
                <w:sz w:val="20"/>
                <w:szCs w:val="20"/>
              </w:rPr>
              <w:t>1</w:t>
            </w:r>
            <w:r>
              <w:rPr>
                <w:rFonts w:hint="eastAsia" w:ascii="仿宋_GB2312" w:hAnsi="宋体" w:cs="宋体"/>
                <w:kern w:val="0"/>
                <w:sz w:val="20"/>
                <w:szCs w:val="20"/>
              </w:rPr>
              <w:t>分。</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r>
              <w:rPr>
                <w:rFonts w:hint="eastAsia" w:ascii="宋体" w:hAnsi="宋体" w:eastAsia="宋体" w:cs="宋体"/>
                <w:kern w:val="0"/>
                <w:sz w:val="24"/>
                <w:szCs w:val="24"/>
              </w:rPr>
              <w:t>　2</w:t>
            </w:r>
          </w:p>
        </w:tc>
      </w:tr>
      <w:tr>
        <w:tblPrEx>
          <w:tblCellMar>
            <w:top w:w="0" w:type="dxa"/>
            <w:left w:w="108" w:type="dxa"/>
            <w:bottom w:w="0" w:type="dxa"/>
            <w:right w:w="108" w:type="dxa"/>
          </w:tblCellMar>
        </w:tblPrEx>
        <w:trPr>
          <w:trHeight w:val="1791"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行政事业单位资产报表上报情况（</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考核行政事业单位上报国有资产报表数据的真实性、准确性、全面性</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①未落实专人负责资产报表，未及时上报资产报表扣</w:t>
            </w:r>
            <w:r>
              <w:rPr>
                <w:rFonts w:hint="eastAsia" w:ascii="宋体" w:hAnsi="宋体" w:eastAsia="宋体" w:cs="宋体"/>
                <w:kern w:val="0"/>
                <w:sz w:val="20"/>
                <w:szCs w:val="20"/>
              </w:rPr>
              <w:t>1</w:t>
            </w:r>
            <w:r>
              <w:rPr>
                <w:rFonts w:hint="eastAsia" w:ascii="仿宋_GB2312" w:hAnsi="宋体" w:cs="宋体"/>
                <w:kern w:val="0"/>
                <w:sz w:val="20"/>
                <w:szCs w:val="20"/>
              </w:rPr>
              <w:t>分。②报表填报不规范，内容不完整，数据不真实，扣</w:t>
            </w:r>
            <w:r>
              <w:rPr>
                <w:rFonts w:hint="eastAsia" w:ascii="宋体" w:hAnsi="宋体" w:eastAsia="宋体" w:cs="宋体"/>
                <w:kern w:val="0"/>
                <w:sz w:val="20"/>
                <w:szCs w:val="20"/>
              </w:rPr>
              <w:t>1</w:t>
            </w:r>
            <w:r>
              <w:rPr>
                <w:rFonts w:hint="eastAsia" w:ascii="仿宋_GB2312" w:hAnsi="宋体" w:cs="宋体"/>
                <w:kern w:val="0"/>
                <w:sz w:val="20"/>
                <w:szCs w:val="20"/>
              </w:rPr>
              <w:t>分。③未提交分析报告，对资产变动情况未作分析说明，扣</w:t>
            </w:r>
            <w:r>
              <w:rPr>
                <w:rFonts w:hint="eastAsia" w:ascii="宋体" w:hAnsi="宋体" w:eastAsia="宋体" w:cs="宋体"/>
                <w:kern w:val="0"/>
                <w:sz w:val="20"/>
                <w:szCs w:val="20"/>
              </w:rPr>
              <w:t>1</w:t>
            </w:r>
            <w:r>
              <w:rPr>
                <w:rFonts w:hint="eastAsia" w:ascii="仿宋_GB2312" w:hAnsi="宋体" w:cs="宋体"/>
                <w:kern w:val="0"/>
                <w:sz w:val="20"/>
                <w:szCs w:val="20"/>
              </w:rPr>
              <w:t>分。</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r>
              <w:rPr>
                <w:rFonts w:hint="eastAsia" w:ascii="宋体" w:hAnsi="宋体" w:eastAsia="宋体" w:cs="宋体"/>
                <w:kern w:val="0"/>
                <w:sz w:val="24"/>
                <w:szCs w:val="24"/>
              </w:rPr>
              <w:t>　2</w:t>
            </w:r>
          </w:p>
        </w:tc>
      </w:tr>
      <w:tr>
        <w:tblPrEx>
          <w:tblCellMar>
            <w:top w:w="0" w:type="dxa"/>
            <w:left w:w="108" w:type="dxa"/>
            <w:bottom w:w="0" w:type="dxa"/>
            <w:right w:w="108" w:type="dxa"/>
          </w:tblCellMar>
        </w:tblPrEx>
        <w:trPr>
          <w:trHeight w:val="1539"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内控制度管理（</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157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内部控制度健全完整（</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231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考核部门内部控制制度的设置和执行情况</w:t>
            </w:r>
          </w:p>
        </w:tc>
        <w:tc>
          <w:tcPr>
            <w:tcW w:w="25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内部控制制度健全完整并执行良好的得分，否则不得分。在本年度内因内控制度不健全或执行不到位，造成单位出现廉政风险或发生重大责任事故的不得分。</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r>
              <w:rPr>
                <w:rFonts w:hint="eastAsia" w:ascii="宋体" w:hAnsi="宋体" w:eastAsia="宋体" w:cs="宋体"/>
                <w:kern w:val="0"/>
                <w:sz w:val="24"/>
                <w:szCs w:val="24"/>
              </w:rPr>
              <w:t>　2</w:t>
            </w:r>
          </w:p>
        </w:tc>
      </w:tr>
      <w:tr>
        <w:tblPrEx>
          <w:tblCellMar>
            <w:top w:w="0" w:type="dxa"/>
            <w:left w:w="108" w:type="dxa"/>
            <w:bottom w:w="0" w:type="dxa"/>
            <w:right w:w="108" w:type="dxa"/>
          </w:tblCellMar>
        </w:tblPrEx>
        <w:trPr>
          <w:trHeight w:val="172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信息公开（</w:t>
            </w:r>
            <w:r>
              <w:rPr>
                <w:rFonts w:hint="eastAsia" w:ascii="宋体" w:hAnsi="宋体" w:eastAsia="宋体" w:cs="宋体"/>
                <w:kern w:val="0"/>
                <w:sz w:val="20"/>
                <w:szCs w:val="20"/>
              </w:rPr>
              <w:t>6</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预算公开（</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除涉密信息外，各部门要在财政部门批复后二十日内向社会公开本部门预算（含所有财政资金安排的“三公”经费、机关运行经费的安排、使用情况等）</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按财政局通知要求公开预算，未按要求公开的，发现一处扣</w:t>
            </w:r>
            <w:r>
              <w:rPr>
                <w:rFonts w:hint="eastAsia" w:ascii="宋体" w:hAnsi="宋体" w:eastAsia="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r>
              <w:rPr>
                <w:rFonts w:hint="eastAsia" w:ascii="宋体" w:hAnsi="宋体" w:eastAsia="宋体" w:cs="宋体"/>
                <w:kern w:val="0"/>
                <w:sz w:val="24"/>
                <w:szCs w:val="24"/>
              </w:rPr>
              <w:t>　2</w:t>
            </w:r>
          </w:p>
        </w:tc>
      </w:tr>
      <w:tr>
        <w:tblPrEx>
          <w:tblCellMar>
            <w:top w:w="0" w:type="dxa"/>
            <w:left w:w="108" w:type="dxa"/>
            <w:bottom w:w="0" w:type="dxa"/>
            <w:right w:w="108" w:type="dxa"/>
          </w:tblCellMar>
        </w:tblPrEx>
        <w:trPr>
          <w:trHeight w:val="1444"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决算公开（</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除涉密信息外，各部门要在财政部门批复二十日内向社会公开本部门决算（含所有财政资金安排的“三公”经费、机关运行经费的安排、使用情况等）</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未按要求公开的，发现一处问题</w:t>
            </w:r>
            <w:r>
              <w:rPr>
                <w:rFonts w:hint="eastAsia" w:ascii="宋体" w:hAnsi="宋体" w:eastAsia="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r>
              <w:rPr>
                <w:rFonts w:hint="eastAsia" w:ascii="宋体" w:hAnsi="宋体" w:eastAsia="宋体" w:cs="宋体"/>
                <w:kern w:val="0"/>
                <w:sz w:val="24"/>
                <w:szCs w:val="24"/>
              </w:rPr>
              <w:t>　2</w:t>
            </w:r>
          </w:p>
        </w:tc>
      </w:tr>
      <w:tr>
        <w:tblPrEx>
          <w:tblCellMar>
            <w:top w:w="0" w:type="dxa"/>
            <w:left w:w="108" w:type="dxa"/>
            <w:bottom w:w="0" w:type="dxa"/>
            <w:right w:w="108" w:type="dxa"/>
          </w:tblCellMar>
        </w:tblPrEx>
        <w:trPr>
          <w:trHeight w:val="906"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绩效信息公开（</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按要求公开部门整体支出绩效自评报告及其他按要求应公开的绩效信息</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未按要求公开的，发现一处问题</w:t>
            </w:r>
            <w:r>
              <w:rPr>
                <w:rFonts w:hint="eastAsia" w:ascii="宋体" w:hAnsi="宋体" w:eastAsia="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r>
              <w:rPr>
                <w:rFonts w:hint="eastAsia" w:ascii="宋体" w:hAnsi="宋体" w:eastAsia="宋体" w:cs="宋体"/>
                <w:kern w:val="0"/>
                <w:sz w:val="24"/>
                <w:szCs w:val="24"/>
              </w:rPr>
              <w:t>　2</w:t>
            </w:r>
          </w:p>
        </w:tc>
      </w:tr>
      <w:tr>
        <w:tblPrEx>
          <w:tblCellMar>
            <w:top w:w="0" w:type="dxa"/>
            <w:left w:w="108" w:type="dxa"/>
            <w:bottom w:w="0" w:type="dxa"/>
            <w:right w:w="108" w:type="dxa"/>
          </w:tblCellMar>
        </w:tblPrEx>
        <w:trPr>
          <w:trHeight w:val="1746" w:hRule="atLeast"/>
          <w:jc w:val="center"/>
        </w:trPr>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kern w:val="0"/>
                <w:sz w:val="20"/>
                <w:szCs w:val="20"/>
              </w:rPr>
            </w:pPr>
            <w:r>
              <w:rPr>
                <w:rFonts w:hint="eastAsia" w:ascii="仿宋_GB2312" w:hAnsi="宋体" w:cs="宋体"/>
                <w:kern w:val="0"/>
                <w:sz w:val="20"/>
                <w:szCs w:val="20"/>
              </w:rPr>
              <w:t>综合管理（</w:t>
            </w:r>
            <w:r>
              <w:rPr>
                <w:rFonts w:hint="eastAsia" w:ascii="宋体" w:hAnsi="宋体" w:eastAsia="宋体" w:cs="宋体"/>
                <w:kern w:val="0"/>
                <w:sz w:val="20"/>
                <w:szCs w:val="20"/>
              </w:rPr>
              <w:t>40</w:t>
            </w:r>
            <w:r>
              <w:rPr>
                <w:rFonts w:hint="eastAsia" w:ascii="仿宋_GB2312" w:hAnsi="宋体" w:cs="宋体"/>
                <w:kern w:val="0"/>
                <w:sz w:val="20"/>
                <w:szCs w:val="20"/>
              </w:rPr>
              <w:t>分）</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绩效评价（</w:t>
            </w:r>
            <w:r>
              <w:rPr>
                <w:rFonts w:hint="eastAsia" w:ascii="宋体" w:hAnsi="宋体" w:eastAsia="宋体" w:cs="宋体"/>
                <w:kern w:val="0"/>
                <w:sz w:val="20"/>
                <w:szCs w:val="20"/>
              </w:rPr>
              <w:t>10</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评价项目覆盖率（</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部门实施绩效评价项目数量占部门管理专项预算项目数量的比重，部门申报绩效目标项目数量的比重，用以反映和考核部门实施绩效评价项目资金覆盖情况</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评价覆盖率</w:t>
            </w:r>
            <w:r>
              <w:rPr>
                <w:rFonts w:hint="eastAsia" w:ascii="宋体" w:hAnsi="宋体" w:eastAsia="宋体" w:cs="宋体"/>
                <w:kern w:val="0"/>
                <w:sz w:val="20"/>
                <w:szCs w:val="20"/>
              </w:rPr>
              <w:t>=</w:t>
            </w:r>
            <w:r>
              <w:rPr>
                <w:rFonts w:hint="eastAsia" w:ascii="仿宋_GB2312" w:hAnsi="宋体" w:cs="宋体"/>
                <w:kern w:val="0"/>
                <w:sz w:val="20"/>
                <w:szCs w:val="20"/>
              </w:rPr>
              <w:t>实施绩效评价项目数量</w:t>
            </w:r>
            <w:r>
              <w:rPr>
                <w:rFonts w:hint="eastAsia" w:ascii="宋体" w:hAnsi="宋体" w:eastAsia="宋体" w:cs="宋体"/>
                <w:kern w:val="0"/>
                <w:sz w:val="20"/>
                <w:szCs w:val="20"/>
              </w:rPr>
              <w:t>/</w:t>
            </w:r>
            <w:r>
              <w:rPr>
                <w:rFonts w:hint="eastAsia" w:ascii="仿宋_GB2312" w:hAnsi="宋体" w:cs="宋体"/>
                <w:kern w:val="0"/>
                <w:sz w:val="20"/>
                <w:szCs w:val="20"/>
              </w:rPr>
              <w:t>部门管理专项预算项目数量×</w:t>
            </w:r>
            <w:r>
              <w:rPr>
                <w:rFonts w:hint="eastAsia" w:ascii="宋体" w:hAnsi="宋体" w:eastAsia="宋体" w:cs="宋体"/>
                <w:kern w:val="0"/>
                <w:sz w:val="20"/>
                <w:szCs w:val="20"/>
              </w:rPr>
              <w:t>100%</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r>
              <w:rPr>
                <w:rFonts w:hint="eastAsia" w:ascii="宋体" w:hAnsi="宋体" w:eastAsia="宋体" w:cs="宋体"/>
                <w:kern w:val="0"/>
                <w:sz w:val="24"/>
                <w:szCs w:val="24"/>
              </w:rPr>
              <w:t>　2</w:t>
            </w:r>
          </w:p>
        </w:tc>
      </w:tr>
      <w:tr>
        <w:tblPrEx>
          <w:tblCellMar>
            <w:top w:w="0" w:type="dxa"/>
            <w:left w:w="108" w:type="dxa"/>
            <w:bottom w:w="0" w:type="dxa"/>
            <w:right w:w="108" w:type="dxa"/>
          </w:tblCellMar>
        </w:tblPrEx>
        <w:trPr>
          <w:trHeight w:val="851"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评价层次（</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部门（单位）是否对下级预算单位开展整体绩效评价</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实施评价下级预算单位的得分，否则不得分</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850"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评价结果报告（</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部门是否按要求向财政部门报告自评报告等相关绩效信息</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未按要求报送的，发现一处扣</w:t>
            </w:r>
            <w:r>
              <w:rPr>
                <w:rFonts w:hint="eastAsia" w:ascii="宋体" w:hAnsi="宋体" w:eastAsia="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r>
              <w:rPr>
                <w:rFonts w:hint="eastAsia" w:ascii="宋体" w:hAnsi="宋体" w:eastAsia="宋体" w:cs="宋体"/>
                <w:kern w:val="0"/>
                <w:sz w:val="24"/>
                <w:szCs w:val="24"/>
              </w:rPr>
              <w:t>　2</w:t>
            </w:r>
          </w:p>
        </w:tc>
      </w:tr>
      <w:tr>
        <w:tblPrEx>
          <w:tblCellMar>
            <w:top w:w="0" w:type="dxa"/>
            <w:left w:w="108" w:type="dxa"/>
            <w:bottom w:w="0" w:type="dxa"/>
            <w:right w:w="108" w:type="dxa"/>
          </w:tblCellMar>
        </w:tblPrEx>
        <w:trPr>
          <w:trHeight w:val="863"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整改完成率（</w:t>
            </w:r>
            <w:r>
              <w:rPr>
                <w:rFonts w:hint="eastAsia" w:ascii="宋体" w:hAnsi="宋体" w:eastAsia="宋体" w:cs="宋体"/>
                <w:kern w:val="0"/>
                <w:sz w:val="20"/>
                <w:szCs w:val="20"/>
              </w:rPr>
              <w:t>4</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部门是否按要求针对绩效评价发现问题制定整改措施，并整改落实到位</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完成率</w:t>
            </w:r>
            <w:r>
              <w:rPr>
                <w:rFonts w:hint="eastAsia" w:ascii="宋体" w:hAnsi="宋体" w:eastAsia="宋体" w:cs="宋体"/>
                <w:kern w:val="0"/>
                <w:sz w:val="20"/>
                <w:szCs w:val="20"/>
              </w:rPr>
              <w:t>=</w:t>
            </w:r>
            <w:r>
              <w:rPr>
                <w:rFonts w:hint="eastAsia" w:ascii="仿宋_GB2312" w:hAnsi="宋体" w:cs="宋体"/>
                <w:kern w:val="0"/>
                <w:sz w:val="20"/>
                <w:szCs w:val="20"/>
              </w:rPr>
              <w:t>应制定整改措施的项目数量</w:t>
            </w:r>
            <w:r>
              <w:rPr>
                <w:rFonts w:hint="eastAsia" w:ascii="宋体" w:hAnsi="宋体" w:eastAsia="宋体" w:cs="宋体"/>
                <w:kern w:val="0"/>
                <w:sz w:val="20"/>
                <w:szCs w:val="20"/>
              </w:rPr>
              <w:t>/</w:t>
            </w:r>
            <w:r>
              <w:rPr>
                <w:rFonts w:hint="eastAsia" w:ascii="仿宋_GB2312" w:hAnsi="宋体" w:cs="宋体"/>
                <w:kern w:val="0"/>
                <w:sz w:val="20"/>
                <w:szCs w:val="20"/>
              </w:rPr>
              <w:t>部门实际制定整改措施项目数量×</w:t>
            </w:r>
            <w:r>
              <w:rPr>
                <w:rFonts w:hint="eastAsia" w:ascii="宋体" w:hAnsi="宋体" w:eastAsia="宋体" w:cs="宋体"/>
                <w:kern w:val="0"/>
                <w:sz w:val="20"/>
                <w:szCs w:val="20"/>
              </w:rPr>
              <w:t>100%</w:t>
            </w:r>
            <w:r>
              <w:rPr>
                <w:rFonts w:hint="eastAsia" w:ascii="仿宋_GB2312" w:hAnsi="宋体" w:cs="宋体"/>
                <w:kern w:val="0"/>
                <w:sz w:val="20"/>
                <w:szCs w:val="20"/>
              </w:rPr>
              <w:t>。</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r>
              <w:rPr>
                <w:rFonts w:hint="eastAsia" w:ascii="宋体" w:hAnsi="宋体" w:eastAsia="宋体" w:cs="宋体"/>
                <w:kern w:val="0"/>
                <w:sz w:val="24"/>
                <w:szCs w:val="24"/>
              </w:rPr>
              <w:t>　4</w:t>
            </w:r>
          </w:p>
        </w:tc>
      </w:tr>
      <w:tr>
        <w:tblPrEx>
          <w:tblCellMar>
            <w:top w:w="0" w:type="dxa"/>
            <w:left w:w="108" w:type="dxa"/>
            <w:bottom w:w="0" w:type="dxa"/>
            <w:right w:w="108" w:type="dxa"/>
          </w:tblCellMar>
        </w:tblPrEx>
        <w:trPr>
          <w:trHeight w:val="1808"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依法接受财政监督（</w:t>
            </w:r>
            <w:r>
              <w:rPr>
                <w:rFonts w:hint="eastAsia" w:ascii="宋体" w:hAnsi="宋体" w:eastAsia="宋体" w:cs="宋体"/>
                <w:kern w:val="0"/>
                <w:sz w:val="20"/>
                <w:szCs w:val="20"/>
              </w:rPr>
              <w:t>6</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是否按要求开展自查自纠（</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2313"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根据相关自查自纠报告、报表报送时效和质量进行考核</w:t>
            </w:r>
          </w:p>
        </w:tc>
        <w:tc>
          <w:tcPr>
            <w:tcW w:w="25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未在规定时间内报送自查自纠相关材料（包括：纸质和电子版）的，扣</w:t>
            </w:r>
            <w:r>
              <w:rPr>
                <w:rFonts w:hint="eastAsia" w:ascii="宋体" w:hAnsi="宋体" w:eastAsia="宋体" w:cs="宋体"/>
                <w:kern w:val="0"/>
                <w:sz w:val="20"/>
                <w:szCs w:val="20"/>
              </w:rPr>
              <w:t>0.5</w:t>
            </w:r>
            <w:r>
              <w:rPr>
                <w:rFonts w:hint="eastAsia" w:ascii="仿宋_GB2312" w:hAnsi="宋体" w:cs="宋体"/>
                <w:kern w:val="0"/>
                <w:sz w:val="20"/>
                <w:szCs w:val="20"/>
              </w:rPr>
              <w:t>分；报告内容不完整，扣</w:t>
            </w:r>
            <w:r>
              <w:rPr>
                <w:rFonts w:hint="eastAsia" w:ascii="宋体" w:hAnsi="宋体" w:eastAsia="宋体" w:cs="宋体"/>
                <w:kern w:val="0"/>
                <w:sz w:val="20"/>
                <w:szCs w:val="20"/>
              </w:rPr>
              <w:t>1</w:t>
            </w:r>
            <w:r>
              <w:rPr>
                <w:rFonts w:hint="eastAsia" w:ascii="仿宋_GB2312" w:hAnsi="宋体" w:cs="宋体"/>
                <w:kern w:val="0"/>
                <w:sz w:val="20"/>
                <w:szCs w:val="20"/>
              </w:rPr>
              <w:t>分；报表质量差（如：数据、逻辑、勾稽关系错误）等扣</w:t>
            </w:r>
            <w:r>
              <w:rPr>
                <w:rFonts w:hint="eastAsia" w:ascii="宋体" w:hAnsi="宋体" w:eastAsia="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r>
              <w:rPr>
                <w:rFonts w:hint="eastAsia" w:ascii="宋体" w:hAnsi="宋体" w:eastAsia="宋体" w:cs="宋体"/>
                <w:kern w:val="0"/>
                <w:sz w:val="24"/>
                <w:szCs w:val="24"/>
              </w:rPr>
              <w:t>　2</w:t>
            </w:r>
          </w:p>
        </w:tc>
      </w:tr>
      <w:tr>
        <w:tblPrEx>
          <w:tblCellMar>
            <w:top w:w="0" w:type="dxa"/>
            <w:left w:w="108" w:type="dxa"/>
            <w:bottom w:w="0" w:type="dxa"/>
            <w:right w:w="108" w:type="dxa"/>
          </w:tblCellMar>
        </w:tblPrEx>
        <w:trPr>
          <w:trHeight w:val="487"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重点检查发现违规违纪问题（</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根据检查组提供的工作底稿、检查报告等资料进行考核</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专项检查发现的违纪违规问题，每个问题扣</w:t>
            </w:r>
            <w:r>
              <w:rPr>
                <w:rFonts w:hint="eastAsia" w:ascii="宋体" w:hAnsi="宋体" w:eastAsia="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r>
              <w:rPr>
                <w:rFonts w:hint="eastAsia" w:ascii="宋体" w:hAnsi="宋体" w:eastAsia="宋体" w:cs="宋体"/>
                <w:kern w:val="0"/>
                <w:sz w:val="24"/>
                <w:szCs w:val="24"/>
              </w:rPr>
              <w:t>　2</w:t>
            </w:r>
          </w:p>
        </w:tc>
      </w:tr>
      <w:tr>
        <w:tblPrEx>
          <w:tblCellMar>
            <w:top w:w="0" w:type="dxa"/>
            <w:left w:w="108" w:type="dxa"/>
            <w:bottom w:w="0" w:type="dxa"/>
            <w:right w:w="108" w:type="dxa"/>
          </w:tblCellMar>
        </w:tblPrEx>
        <w:trPr>
          <w:trHeight w:val="943"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存在问题整改是否到位（</w:t>
            </w:r>
            <w:r>
              <w:rPr>
                <w:rFonts w:hint="eastAsia" w:ascii="宋体" w:hAnsi="宋体" w:eastAsia="宋体" w:cs="宋体"/>
                <w:kern w:val="0"/>
                <w:sz w:val="20"/>
                <w:szCs w:val="20"/>
              </w:rPr>
              <w:t>2</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根据相关整改报告、凭证依据等相关证明材料进行考核</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未在规定时间内完成整改，并提供相关证明材料的，每个问题</w:t>
            </w:r>
            <w:r>
              <w:rPr>
                <w:rFonts w:hint="eastAsia" w:ascii="宋体" w:hAnsi="宋体" w:eastAsia="宋体" w:cs="宋体"/>
                <w:kern w:val="0"/>
                <w:sz w:val="20"/>
                <w:szCs w:val="20"/>
              </w:rPr>
              <w:t>0.5</w:t>
            </w:r>
            <w:r>
              <w:rPr>
                <w:rFonts w:hint="eastAsia" w:ascii="仿宋_GB2312" w:hAnsi="宋体" w:cs="宋体"/>
                <w:kern w:val="0"/>
                <w:sz w:val="20"/>
                <w:szCs w:val="20"/>
              </w:rPr>
              <w:t>分，直至扣完</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r>
              <w:rPr>
                <w:rFonts w:hint="eastAsia" w:ascii="宋体" w:hAnsi="宋体" w:eastAsia="宋体" w:cs="宋体"/>
                <w:kern w:val="0"/>
                <w:sz w:val="24"/>
                <w:szCs w:val="24"/>
              </w:rPr>
              <w:t>　2</w:t>
            </w:r>
          </w:p>
        </w:tc>
      </w:tr>
      <w:tr>
        <w:tblPrEx>
          <w:tblCellMar>
            <w:top w:w="0" w:type="dxa"/>
            <w:left w:w="108" w:type="dxa"/>
            <w:bottom w:w="0" w:type="dxa"/>
            <w:right w:w="108" w:type="dxa"/>
          </w:tblCellMar>
        </w:tblPrEx>
        <w:trPr>
          <w:trHeight w:val="1809" w:hRule="atLeast"/>
          <w:jc w:val="center"/>
        </w:trPr>
        <w:tc>
          <w:tcPr>
            <w:tcW w:w="106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kern w:val="0"/>
                <w:sz w:val="20"/>
                <w:szCs w:val="20"/>
              </w:rPr>
            </w:pPr>
            <w:r>
              <w:rPr>
                <w:rFonts w:hint="eastAsia" w:ascii="仿宋_GB2312" w:hAnsi="宋体" w:cs="宋体"/>
                <w:kern w:val="0"/>
                <w:sz w:val="20"/>
                <w:szCs w:val="20"/>
              </w:rPr>
              <w:t>整体效益（</w:t>
            </w:r>
            <w:r>
              <w:rPr>
                <w:rFonts w:hint="eastAsia" w:ascii="宋体" w:hAnsi="宋体" w:eastAsia="宋体" w:cs="宋体"/>
                <w:kern w:val="0"/>
                <w:sz w:val="20"/>
                <w:szCs w:val="20"/>
              </w:rPr>
              <w:t>30</w:t>
            </w:r>
            <w:r>
              <w:rPr>
                <w:rFonts w:hint="eastAsia" w:ascii="仿宋_GB2312" w:hAnsi="宋体" w:cs="宋体"/>
                <w:kern w:val="0"/>
                <w:sz w:val="20"/>
                <w:szCs w:val="20"/>
              </w:rPr>
              <w:t>分）</w:t>
            </w:r>
          </w:p>
        </w:tc>
        <w:tc>
          <w:tcPr>
            <w:tcW w:w="10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部门整体绩效</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重点项目绩效评价结果（</w:t>
            </w:r>
            <w:r>
              <w:rPr>
                <w:rFonts w:hint="eastAsia" w:ascii="宋体" w:hAnsi="宋体" w:eastAsia="宋体" w:cs="宋体"/>
                <w:kern w:val="0"/>
                <w:sz w:val="20"/>
                <w:szCs w:val="20"/>
              </w:rPr>
              <w:t>10</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部门实施重大项目的经济、社会效益</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根据财政局组织实施项目绩效评价结果换算</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2872" w:hRule="atLeast"/>
          <w:jc w:val="center"/>
        </w:trPr>
        <w:tc>
          <w:tcPr>
            <w:tcW w:w="106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cs="宋体"/>
                <w:kern w:val="0"/>
                <w:sz w:val="20"/>
                <w:szCs w:val="20"/>
              </w:rPr>
            </w:pPr>
          </w:p>
        </w:tc>
        <w:tc>
          <w:tcPr>
            <w:tcW w:w="106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w:t>
            </w:r>
            <w:r>
              <w:rPr>
                <w:rFonts w:hint="eastAsia" w:ascii="宋体" w:hAnsi="宋体" w:eastAsia="宋体" w:cs="宋体"/>
                <w:kern w:val="0"/>
                <w:sz w:val="20"/>
                <w:szCs w:val="20"/>
              </w:rPr>
              <w:t>30</w:t>
            </w:r>
            <w:r>
              <w:rPr>
                <w:rFonts w:hint="eastAsia" w:ascii="仿宋_GB2312" w:hAnsi="宋体" w:cs="宋体"/>
                <w:kern w:val="0"/>
                <w:sz w:val="20"/>
                <w:szCs w:val="20"/>
              </w:rPr>
              <w:t>分）</w:t>
            </w:r>
          </w:p>
        </w:tc>
        <w:tc>
          <w:tcPr>
            <w:tcW w:w="1578"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cs="宋体"/>
                <w:kern w:val="0"/>
                <w:sz w:val="20"/>
                <w:szCs w:val="20"/>
              </w:rPr>
            </w:pPr>
            <w:r>
              <w:rPr>
                <w:rFonts w:hint="eastAsia" w:ascii="仿宋_GB2312" w:hAnsi="宋体" w:cs="宋体"/>
                <w:kern w:val="0"/>
                <w:sz w:val="20"/>
                <w:szCs w:val="20"/>
              </w:rPr>
              <w:t>部门职能完成情况特性指标（</w:t>
            </w:r>
            <w:r>
              <w:rPr>
                <w:rFonts w:hint="eastAsia" w:ascii="宋体" w:hAnsi="宋体" w:eastAsia="宋体" w:cs="宋体"/>
                <w:kern w:val="0"/>
                <w:sz w:val="20"/>
                <w:szCs w:val="20"/>
              </w:rPr>
              <w:t>20</w:t>
            </w:r>
            <w:r>
              <w:rPr>
                <w:rFonts w:hint="eastAsia" w:ascii="仿宋_GB2312" w:hAnsi="宋体" w:cs="宋体"/>
                <w:kern w:val="0"/>
                <w:sz w:val="20"/>
                <w:szCs w:val="20"/>
              </w:rPr>
              <w:t>分）</w:t>
            </w:r>
          </w:p>
        </w:tc>
        <w:tc>
          <w:tcPr>
            <w:tcW w:w="2313"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根据部门职能职责、中央主管部门、省委省政府、市委市政府安排的各项专项工作任务及其他年度重点工作任务等，汇总梳理形成能够量化衡量且全面反映部门职能工作完成情况的若干指标。</w:t>
            </w:r>
          </w:p>
        </w:tc>
        <w:tc>
          <w:tcPr>
            <w:tcW w:w="258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kern w:val="0"/>
                <w:sz w:val="20"/>
                <w:szCs w:val="20"/>
              </w:rPr>
            </w:pPr>
            <w:r>
              <w:rPr>
                <w:rFonts w:hint="eastAsia" w:ascii="仿宋_GB2312" w:hAnsi="宋体" w:cs="宋体"/>
                <w:kern w:val="0"/>
                <w:sz w:val="20"/>
                <w:szCs w:val="20"/>
              </w:rPr>
              <w:t>部门和评价组根据部门实际设置</w:t>
            </w:r>
          </w:p>
        </w:tc>
        <w:tc>
          <w:tcPr>
            <w:tcW w:w="738"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宋体" w:hAnsi="宋体" w:eastAsia="宋体" w:cs="宋体"/>
                <w:kern w:val="0"/>
                <w:sz w:val="24"/>
                <w:szCs w:val="24"/>
              </w:rPr>
            </w:pPr>
            <w:r>
              <w:rPr>
                <w:rFonts w:hint="eastAsia" w:ascii="宋体" w:hAnsi="宋体" w:eastAsia="宋体" w:cs="宋体"/>
                <w:kern w:val="0"/>
                <w:sz w:val="24"/>
                <w:szCs w:val="24"/>
              </w:rPr>
              <w:t>　18</w:t>
            </w:r>
          </w:p>
        </w:tc>
      </w:tr>
      <w:tr>
        <w:tblPrEx>
          <w:tblCellMar>
            <w:top w:w="0" w:type="dxa"/>
            <w:left w:w="108" w:type="dxa"/>
            <w:bottom w:w="0" w:type="dxa"/>
            <w:right w:w="108" w:type="dxa"/>
          </w:tblCellMar>
        </w:tblPrEx>
        <w:trPr>
          <w:trHeight w:val="1146" w:hRule="atLeast"/>
          <w:jc w:val="center"/>
        </w:trPr>
        <w:tc>
          <w:tcPr>
            <w:tcW w:w="93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cs="宋体"/>
                <w:b/>
                <w:bCs/>
                <w:kern w:val="0"/>
                <w:sz w:val="20"/>
                <w:szCs w:val="20"/>
              </w:rPr>
            </w:pPr>
            <w:r>
              <w:rPr>
                <w:rFonts w:hint="eastAsia" w:ascii="仿宋_GB2312" w:hAnsi="宋体" w:cs="宋体"/>
                <w:b/>
                <w:bCs/>
                <w:kern w:val="0"/>
                <w:sz w:val="20"/>
                <w:szCs w:val="20"/>
              </w:rPr>
              <w:t>注：若某部门不存在某项评价内容或评价指标，则该评价内容或评价指标不计入该部门考核评价范围，即该部门评价总分＝不含该评价内容或指标的评价总分</w:t>
            </w:r>
            <w:r>
              <w:rPr>
                <w:rFonts w:hint="eastAsia" w:ascii="宋体" w:hAnsi="宋体" w:eastAsia="宋体" w:cs="宋体"/>
                <w:b/>
                <w:bCs/>
                <w:kern w:val="0"/>
                <w:sz w:val="20"/>
                <w:szCs w:val="20"/>
              </w:rPr>
              <w:t>/</w:t>
            </w:r>
            <w:r>
              <w:rPr>
                <w:rFonts w:hint="eastAsia" w:ascii="仿宋_GB2312" w:hAnsi="宋体" w:cs="宋体"/>
                <w:b/>
                <w:bCs/>
                <w:kern w:val="0"/>
                <w:sz w:val="20"/>
                <w:szCs w:val="20"/>
              </w:rPr>
              <w:t>（</w:t>
            </w:r>
            <w:r>
              <w:rPr>
                <w:rFonts w:hint="eastAsia" w:ascii="宋体" w:hAnsi="宋体" w:eastAsia="宋体" w:cs="宋体"/>
                <w:b/>
                <w:bCs/>
                <w:kern w:val="0"/>
                <w:sz w:val="20"/>
                <w:szCs w:val="20"/>
              </w:rPr>
              <w:t>100-</w:t>
            </w:r>
            <w:r>
              <w:rPr>
                <w:rFonts w:hint="eastAsia" w:ascii="仿宋_GB2312" w:hAnsi="宋体" w:cs="宋体"/>
                <w:b/>
                <w:bCs/>
                <w:kern w:val="0"/>
                <w:sz w:val="20"/>
                <w:szCs w:val="20"/>
              </w:rPr>
              <w:t>该评价内容或指标所占分值）</w:t>
            </w:r>
            <w:r>
              <w:rPr>
                <w:rFonts w:hint="eastAsia" w:ascii="宋体" w:hAnsi="宋体" w:eastAsia="宋体" w:cs="宋体"/>
                <w:b/>
                <w:bCs/>
                <w:kern w:val="0"/>
                <w:sz w:val="20"/>
                <w:szCs w:val="20"/>
              </w:rPr>
              <w:t>*100</w:t>
            </w:r>
            <w:r>
              <w:rPr>
                <w:rFonts w:hint="eastAsia" w:ascii="仿宋_GB2312" w:hAnsi="宋体" w:cs="宋体"/>
                <w:b/>
                <w:bCs/>
                <w:kern w:val="0"/>
                <w:sz w:val="20"/>
                <w:szCs w:val="20"/>
              </w:rPr>
              <w:t>。</w:t>
            </w:r>
          </w:p>
          <w:p>
            <w:pPr>
              <w:widowControl/>
              <w:spacing w:line="240" w:lineRule="exact"/>
              <w:jc w:val="left"/>
              <w:rPr>
                <w:rFonts w:ascii="宋体" w:hAnsi="宋体" w:eastAsia="宋体" w:cs="宋体"/>
                <w:kern w:val="0"/>
                <w:sz w:val="24"/>
                <w:szCs w:val="24"/>
              </w:rPr>
            </w:pPr>
            <w:r>
              <w:rPr>
                <w:rFonts w:hint="eastAsia" w:ascii="仿宋_GB2312" w:hAnsi="宋体" w:cs="宋体"/>
                <w:b/>
                <w:bCs/>
                <w:kern w:val="0"/>
                <w:sz w:val="20"/>
                <w:szCs w:val="20"/>
              </w:rPr>
              <w:t>得分：79分/81分=97.53分</w:t>
            </w:r>
          </w:p>
          <w:p>
            <w:pPr>
              <w:widowControl/>
              <w:spacing w:line="240" w:lineRule="exact"/>
              <w:jc w:val="left"/>
              <w:rPr>
                <w:rFonts w:ascii="宋体" w:hAnsi="宋体" w:eastAsia="宋体" w:cs="宋体"/>
                <w:kern w:val="0"/>
                <w:sz w:val="24"/>
                <w:szCs w:val="24"/>
              </w:rPr>
            </w:pPr>
          </w:p>
        </w:tc>
      </w:tr>
    </w:tbl>
    <w:p>
      <w:pPr>
        <w:ind w:firstLine="640" w:firstLineChars="200"/>
        <w:rPr>
          <w:rFonts w:ascii="仿宋" w:hAnsi="仿宋" w:eastAsia="仿宋"/>
        </w:rPr>
      </w:pPr>
      <w:r>
        <w:rPr>
          <w:rFonts w:hint="eastAsia" w:ascii="仿宋" w:hAnsi="仿宋" w:eastAsia="仿宋"/>
        </w:rPr>
        <w:t>3. 部门自行组织绩效评价开展情况。</w:t>
      </w:r>
    </w:p>
    <w:p>
      <w:pPr>
        <w:ind w:firstLine="640" w:firstLineChars="200"/>
        <w:rPr>
          <w:rFonts w:ascii="仿宋" w:hAnsi="仿宋" w:eastAsia="仿宋"/>
          <w:color w:val="000000"/>
        </w:rPr>
      </w:pPr>
      <w:r>
        <w:rPr>
          <w:rFonts w:hint="eastAsia" w:ascii="仿宋" w:hAnsi="仿宋" w:eastAsia="仿宋"/>
          <w:color w:val="000000"/>
        </w:rPr>
        <w:t>市发改委没有</w:t>
      </w:r>
      <w:r>
        <w:rPr>
          <w:rFonts w:hint="eastAsia" w:ascii="仿宋" w:hAnsi="仿宋" w:eastAsia="仿宋"/>
        </w:rPr>
        <w:t>独立经费预算的</w:t>
      </w:r>
      <w:r>
        <w:rPr>
          <w:rFonts w:hint="eastAsia" w:ascii="仿宋" w:hAnsi="仿宋" w:eastAsia="仿宋"/>
          <w:color w:val="000000"/>
        </w:rPr>
        <w:t>下属单位，未对下属单位开展整体支出绩效评价。本部门对物价管理咨询费项目开展了绩效评价，得分为98.5分，存在的问题：预算编制还需要进一步优化。下一步改进措施：按制度、按计划及时拨付项目资金，进一步加快支出进度，加强资金使用跟踪和监督检查。</w:t>
      </w:r>
    </w:p>
    <w:p>
      <w:pPr>
        <w:jc w:val="center"/>
        <w:rPr>
          <w:rFonts w:ascii="黑体" w:hAnsi="黑体" w:eastAsia="黑体"/>
        </w:rPr>
      </w:pPr>
      <w:r>
        <w:rPr>
          <w:rFonts w:hint="eastAsia" w:ascii="黑体" w:hAnsi="黑体" w:eastAsia="黑体"/>
        </w:rPr>
        <w:t>2017年市级项目支出绩效评价得分</w:t>
      </w:r>
    </w:p>
    <w:tbl>
      <w:tblPr>
        <w:tblStyle w:val="7"/>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719"/>
        <w:gridCol w:w="1439"/>
        <w:gridCol w:w="484"/>
        <w:gridCol w:w="4872"/>
        <w:gridCol w:w="11"/>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719" w:type="dxa"/>
            <w:vAlign w:val="center"/>
          </w:tcPr>
          <w:p>
            <w:pPr>
              <w:spacing w:line="240" w:lineRule="exact"/>
              <w:jc w:val="center"/>
              <w:rPr>
                <w:rFonts w:ascii="宋体" w:hAnsi="宋体"/>
                <w:b/>
                <w:sz w:val="19"/>
                <w:szCs w:val="21"/>
              </w:rPr>
            </w:pPr>
            <w:r>
              <w:rPr>
                <w:rFonts w:hint="eastAsia" w:ascii="宋体" w:hAnsi="宋体"/>
                <w:b/>
                <w:sz w:val="19"/>
                <w:szCs w:val="21"/>
              </w:rPr>
              <w:t>一级</w:t>
            </w:r>
          </w:p>
          <w:p>
            <w:pPr>
              <w:spacing w:line="240" w:lineRule="exact"/>
              <w:jc w:val="center"/>
              <w:rPr>
                <w:rFonts w:ascii="宋体" w:hAnsi="宋体"/>
                <w:b/>
                <w:sz w:val="19"/>
                <w:szCs w:val="21"/>
              </w:rPr>
            </w:pPr>
            <w:r>
              <w:rPr>
                <w:rFonts w:hint="eastAsia" w:ascii="宋体" w:hAnsi="宋体"/>
                <w:b/>
                <w:sz w:val="19"/>
                <w:szCs w:val="21"/>
              </w:rPr>
              <w:t>指标</w:t>
            </w:r>
          </w:p>
        </w:tc>
        <w:tc>
          <w:tcPr>
            <w:tcW w:w="719" w:type="dxa"/>
            <w:vAlign w:val="center"/>
          </w:tcPr>
          <w:p>
            <w:pPr>
              <w:spacing w:line="240" w:lineRule="exact"/>
              <w:jc w:val="center"/>
              <w:rPr>
                <w:rFonts w:ascii="宋体" w:hAnsi="宋体"/>
                <w:b/>
                <w:sz w:val="19"/>
                <w:szCs w:val="21"/>
              </w:rPr>
            </w:pPr>
            <w:r>
              <w:rPr>
                <w:rFonts w:hint="eastAsia" w:ascii="宋体" w:hAnsi="宋体"/>
                <w:b/>
                <w:sz w:val="19"/>
                <w:szCs w:val="21"/>
              </w:rPr>
              <w:t>二级</w:t>
            </w:r>
          </w:p>
          <w:p>
            <w:pPr>
              <w:spacing w:line="240" w:lineRule="exact"/>
              <w:jc w:val="center"/>
              <w:rPr>
                <w:rFonts w:ascii="宋体" w:hAnsi="宋体"/>
                <w:b/>
                <w:sz w:val="19"/>
                <w:szCs w:val="21"/>
              </w:rPr>
            </w:pPr>
            <w:r>
              <w:rPr>
                <w:rFonts w:hint="eastAsia" w:ascii="宋体" w:hAnsi="宋体"/>
                <w:b/>
                <w:sz w:val="19"/>
                <w:szCs w:val="21"/>
              </w:rPr>
              <w:t>指标</w:t>
            </w:r>
          </w:p>
        </w:tc>
        <w:tc>
          <w:tcPr>
            <w:tcW w:w="1439" w:type="dxa"/>
            <w:vAlign w:val="center"/>
          </w:tcPr>
          <w:p>
            <w:pPr>
              <w:spacing w:line="240" w:lineRule="exact"/>
              <w:jc w:val="center"/>
              <w:rPr>
                <w:rFonts w:ascii="宋体" w:hAnsi="宋体"/>
                <w:b/>
                <w:sz w:val="19"/>
                <w:szCs w:val="21"/>
              </w:rPr>
            </w:pPr>
            <w:r>
              <w:rPr>
                <w:rFonts w:hint="eastAsia" w:ascii="宋体" w:hAnsi="宋体"/>
                <w:b/>
                <w:sz w:val="19"/>
                <w:szCs w:val="21"/>
              </w:rPr>
              <w:t>三级指标</w:t>
            </w:r>
          </w:p>
        </w:tc>
        <w:tc>
          <w:tcPr>
            <w:tcW w:w="484" w:type="dxa"/>
            <w:vAlign w:val="center"/>
          </w:tcPr>
          <w:p>
            <w:pPr>
              <w:spacing w:line="240" w:lineRule="exact"/>
              <w:jc w:val="center"/>
              <w:rPr>
                <w:rFonts w:ascii="宋体" w:hAnsi="宋体"/>
                <w:b/>
                <w:sz w:val="19"/>
                <w:szCs w:val="21"/>
              </w:rPr>
            </w:pPr>
            <w:r>
              <w:rPr>
                <w:rFonts w:hint="eastAsia" w:ascii="宋体" w:hAnsi="宋体"/>
                <w:b/>
                <w:sz w:val="19"/>
                <w:szCs w:val="21"/>
              </w:rPr>
              <w:t>分值</w:t>
            </w:r>
          </w:p>
        </w:tc>
        <w:tc>
          <w:tcPr>
            <w:tcW w:w="4872" w:type="dxa"/>
            <w:vAlign w:val="center"/>
          </w:tcPr>
          <w:p>
            <w:pPr>
              <w:spacing w:line="240" w:lineRule="exact"/>
              <w:jc w:val="center"/>
              <w:rPr>
                <w:rFonts w:ascii="宋体" w:hAnsi="宋体"/>
                <w:b/>
                <w:sz w:val="19"/>
                <w:szCs w:val="21"/>
              </w:rPr>
            </w:pPr>
            <w:r>
              <w:rPr>
                <w:rFonts w:hint="eastAsia" w:ascii="宋体" w:hAnsi="宋体"/>
                <w:b/>
                <w:sz w:val="19"/>
                <w:szCs w:val="21"/>
              </w:rPr>
              <w:t>指标评价内容</w:t>
            </w:r>
          </w:p>
          <w:p>
            <w:pPr>
              <w:spacing w:line="240" w:lineRule="exact"/>
              <w:jc w:val="center"/>
              <w:rPr>
                <w:rFonts w:ascii="宋体" w:hAnsi="宋体"/>
                <w:b/>
                <w:sz w:val="19"/>
                <w:szCs w:val="21"/>
              </w:rPr>
            </w:pPr>
            <w:r>
              <w:rPr>
                <w:rFonts w:hint="eastAsia" w:ascii="宋体" w:hAnsi="宋体"/>
                <w:b/>
                <w:sz w:val="19"/>
                <w:szCs w:val="21"/>
              </w:rPr>
              <w:t>（公式计算结果＝X）</w:t>
            </w:r>
          </w:p>
        </w:tc>
        <w:tc>
          <w:tcPr>
            <w:tcW w:w="767" w:type="dxa"/>
            <w:gridSpan w:val="2"/>
            <w:vAlign w:val="center"/>
          </w:tcPr>
          <w:p>
            <w:pPr>
              <w:spacing w:line="240" w:lineRule="exact"/>
              <w:jc w:val="center"/>
              <w:rPr>
                <w:rFonts w:ascii="宋体" w:hAnsi="宋体"/>
                <w:b/>
                <w:sz w:val="19"/>
                <w:szCs w:val="21"/>
              </w:rPr>
            </w:pPr>
            <w:r>
              <w:rPr>
                <w:rFonts w:hint="eastAsia" w:ascii="宋体" w:hAnsi="宋体"/>
                <w:b/>
                <w:sz w:val="19"/>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719" w:type="dxa"/>
            <w:vMerge w:val="restart"/>
            <w:textDirection w:val="tbRlV"/>
            <w:vAlign w:val="center"/>
          </w:tcPr>
          <w:p>
            <w:pPr>
              <w:spacing w:line="210" w:lineRule="exact"/>
              <w:ind w:left="113" w:right="113"/>
              <w:jc w:val="center"/>
              <w:rPr>
                <w:rFonts w:ascii="宋体" w:hAnsi="宋体"/>
                <w:sz w:val="19"/>
                <w:szCs w:val="21"/>
              </w:rPr>
            </w:pPr>
            <w:r>
              <w:rPr>
                <w:rFonts w:hint="eastAsia" w:ascii="宋体" w:hAnsi="宋体"/>
                <w:sz w:val="19"/>
                <w:szCs w:val="21"/>
              </w:rPr>
              <w:t>（20分）</w:t>
            </w:r>
          </w:p>
          <w:p>
            <w:pPr>
              <w:spacing w:line="210" w:lineRule="exact"/>
              <w:ind w:left="113" w:right="113"/>
              <w:jc w:val="center"/>
              <w:rPr>
                <w:rFonts w:ascii="宋体" w:hAnsi="宋体"/>
                <w:sz w:val="19"/>
                <w:szCs w:val="21"/>
              </w:rPr>
            </w:pPr>
            <w:r>
              <w:rPr>
                <w:rFonts w:hint="eastAsia" w:ascii="宋体" w:hAnsi="宋体"/>
                <w:sz w:val="19"/>
                <w:szCs w:val="21"/>
              </w:rPr>
              <w:t>项目决策</w:t>
            </w:r>
          </w:p>
        </w:tc>
        <w:tc>
          <w:tcPr>
            <w:tcW w:w="719" w:type="dxa"/>
            <w:vMerge w:val="restart"/>
            <w:textDirection w:val="tbRlV"/>
            <w:vAlign w:val="center"/>
          </w:tcPr>
          <w:p>
            <w:pPr>
              <w:spacing w:line="210" w:lineRule="exact"/>
              <w:ind w:left="113" w:right="113"/>
              <w:jc w:val="center"/>
              <w:rPr>
                <w:rFonts w:ascii="宋体" w:hAnsi="宋体"/>
                <w:sz w:val="19"/>
                <w:szCs w:val="21"/>
              </w:rPr>
            </w:pPr>
            <w:r>
              <w:rPr>
                <w:rFonts w:hint="eastAsia" w:ascii="宋体" w:hAnsi="宋体"/>
                <w:sz w:val="19"/>
                <w:szCs w:val="21"/>
              </w:rPr>
              <w:t>（10分）</w:t>
            </w:r>
          </w:p>
          <w:p>
            <w:pPr>
              <w:spacing w:line="210" w:lineRule="exact"/>
              <w:ind w:left="113" w:right="113"/>
              <w:jc w:val="center"/>
              <w:rPr>
                <w:rFonts w:ascii="宋体" w:hAnsi="宋体"/>
                <w:sz w:val="19"/>
                <w:szCs w:val="21"/>
              </w:rPr>
            </w:pPr>
            <w:r>
              <w:rPr>
                <w:rFonts w:hint="eastAsia" w:ascii="宋体" w:hAnsi="宋体"/>
                <w:sz w:val="19"/>
                <w:szCs w:val="21"/>
              </w:rPr>
              <w:t>科学决策</w:t>
            </w:r>
          </w:p>
        </w:tc>
        <w:tc>
          <w:tcPr>
            <w:tcW w:w="1439" w:type="dxa"/>
            <w:vAlign w:val="center"/>
          </w:tcPr>
          <w:p>
            <w:pPr>
              <w:spacing w:line="210" w:lineRule="exact"/>
              <w:jc w:val="center"/>
              <w:rPr>
                <w:rFonts w:ascii="宋体" w:hAnsi="宋体"/>
                <w:sz w:val="19"/>
                <w:szCs w:val="21"/>
              </w:rPr>
            </w:pPr>
            <w:r>
              <w:rPr>
                <w:rFonts w:hint="eastAsia" w:ascii="宋体" w:hAnsi="宋体"/>
                <w:sz w:val="19"/>
                <w:szCs w:val="21"/>
              </w:rPr>
              <w:t>必要性</w:t>
            </w:r>
          </w:p>
          <w:p>
            <w:pPr>
              <w:spacing w:line="210" w:lineRule="exact"/>
              <w:jc w:val="center"/>
              <w:rPr>
                <w:rFonts w:ascii="宋体" w:hAnsi="宋体"/>
                <w:sz w:val="19"/>
                <w:szCs w:val="21"/>
              </w:rPr>
            </w:pPr>
            <w:r>
              <w:rPr>
                <w:rFonts w:hint="eastAsia" w:ascii="宋体" w:hAnsi="宋体"/>
                <w:sz w:val="19"/>
                <w:szCs w:val="21"/>
              </w:rPr>
              <w:t>（政策依据）</w:t>
            </w:r>
          </w:p>
        </w:tc>
        <w:tc>
          <w:tcPr>
            <w:tcW w:w="484" w:type="dxa"/>
            <w:vAlign w:val="center"/>
          </w:tcPr>
          <w:p>
            <w:pPr>
              <w:spacing w:line="210" w:lineRule="exact"/>
              <w:jc w:val="center"/>
              <w:rPr>
                <w:rFonts w:ascii="宋体" w:hAnsi="宋体"/>
                <w:sz w:val="19"/>
                <w:szCs w:val="21"/>
              </w:rPr>
            </w:pPr>
            <w:r>
              <w:rPr>
                <w:rFonts w:hint="eastAsia" w:ascii="宋体" w:hAnsi="宋体"/>
                <w:sz w:val="19"/>
                <w:szCs w:val="21"/>
              </w:rPr>
              <w:t>5</w:t>
            </w:r>
          </w:p>
        </w:tc>
        <w:tc>
          <w:tcPr>
            <w:tcW w:w="4872" w:type="dxa"/>
            <w:vAlign w:val="center"/>
          </w:tcPr>
          <w:p>
            <w:pPr>
              <w:spacing w:line="210" w:lineRule="exact"/>
              <w:rPr>
                <w:rFonts w:ascii="宋体" w:hAnsi="宋体"/>
                <w:sz w:val="19"/>
                <w:szCs w:val="21"/>
              </w:rPr>
            </w:pPr>
            <w:r>
              <w:rPr>
                <w:rFonts w:hint="eastAsia" w:ascii="宋体" w:hAnsi="宋体"/>
                <w:sz w:val="19"/>
                <w:szCs w:val="21"/>
              </w:rPr>
              <w:t>项目符合党中央、国务院和省委、省政府决策部署；符合当前经济社会发展需要，政策和实际需求的吻合程度分析</w:t>
            </w:r>
          </w:p>
        </w:tc>
        <w:tc>
          <w:tcPr>
            <w:tcW w:w="767" w:type="dxa"/>
            <w:gridSpan w:val="2"/>
            <w:vAlign w:val="center"/>
          </w:tcPr>
          <w:p>
            <w:pPr>
              <w:spacing w:line="210" w:lineRule="exact"/>
              <w:rPr>
                <w:rFonts w:ascii="宋体" w:hAnsi="宋体"/>
                <w:sz w:val="19"/>
                <w:szCs w:val="21"/>
              </w:rPr>
            </w:pPr>
            <w:r>
              <w:rPr>
                <w:rFonts w:hint="eastAsia" w:ascii="宋体" w:hAnsi="宋体"/>
                <w:sz w:val="1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719" w:type="dxa"/>
            <w:vMerge w:val="continue"/>
            <w:textDirection w:val="tbRlV"/>
            <w:vAlign w:val="center"/>
          </w:tcPr>
          <w:p>
            <w:pPr>
              <w:spacing w:line="210" w:lineRule="exact"/>
              <w:ind w:left="113" w:right="113"/>
              <w:jc w:val="center"/>
              <w:rPr>
                <w:rFonts w:ascii="宋体" w:hAnsi="宋体"/>
                <w:sz w:val="19"/>
                <w:szCs w:val="21"/>
              </w:rPr>
            </w:pPr>
          </w:p>
        </w:tc>
        <w:tc>
          <w:tcPr>
            <w:tcW w:w="719" w:type="dxa"/>
            <w:vMerge w:val="continue"/>
            <w:textDirection w:val="tbRlV"/>
            <w:vAlign w:val="center"/>
          </w:tcPr>
          <w:p>
            <w:pPr>
              <w:spacing w:line="210" w:lineRule="exact"/>
              <w:ind w:left="113" w:right="113"/>
              <w:jc w:val="center"/>
              <w:rPr>
                <w:rFonts w:ascii="宋体" w:hAnsi="宋体"/>
                <w:sz w:val="19"/>
                <w:szCs w:val="21"/>
              </w:rPr>
            </w:pPr>
          </w:p>
        </w:tc>
        <w:tc>
          <w:tcPr>
            <w:tcW w:w="1439" w:type="dxa"/>
            <w:vAlign w:val="center"/>
          </w:tcPr>
          <w:p>
            <w:pPr>
              <w:spacing w:line="210" w:lineRule="exact"/>
              <w:jc w:val="center"/>
              <w:rPr>
                <w:rFonts w:ascii="宋体" w:hAnsi="宋体"/>
                <w:sz w:val="19"/>
                <w:szCs w:val="21"/>
              </w:rPr>
            </w:pPr>
            <w:r>
              <w:rPr>
                <w:rFonts w:hint="eastAsia" w:ascii="宋体" w:hAnsi="宋体"/>
                <w:sz w:val="19"/>
                <w:szCs w:val="21"/>
              </w:rPr>
              <w:t>可行性</w:t>
            </w:r>
          </w:p>
          <w:p>
            <w:pPr>
              <w:spacing w:line="210" w:lineRule="exact"/>
              <w:jc w:val="center"/>
              <w:rPr>
                <w:rFonts w:ascii="宋体" w:hAnsi="宋体"/>
                <w:sz w:val="19"/>
                <w:szCs w:val="21"/>
              </w:rPr>
            </w:pPr>
            <w:r>
              <w:rPr>
                <w:rFonts w:hint="eastAsia" w:ascii="宋体" w:hAnsi="宋体"/>
                <w:sz w:val="19"/>
                <w:szCs w:val="21"/>
              </w:rPr>
              <w:t>（政策完善）</w:t>
            </w:r>
          </w:p>
        </w:tc>
        <w:tc>
          <w:tcPr>
            <w:tcW w:w="484" w:type="dxa"/>
            <w:vAlign w:val="center"/>
          </w:tcPr>
          <w:p>
            <w:pPr>
              <w:spacing w:line="210" w:lineRule="exact"/>
              <w:jc w:val="center"/>
              <w:rPr>
                <w:rFonts w:ascii="宋体" w:hAnsi="宋体"/>
                <w:sz w:val="19"/>
                <w:szCs w:val="21"/>
              </w:rPr>
            </w:pPr>
            <w:r>
              <w:rPr>
                <w:rFonts w:hint="eastAsia" w:ascii="宋体" w:hAnsi="宋体"/>
                <w:sz w:val="19"/>
                <w:szCs w:val="21"/>
              </w:rPr>
              <w:t>5</w:t>
            </w:r>
          </w:p>
        </w:tc>
        <w:tc>
          <w:tcPr>
            <w:tcW w:w="4872" w:type="dxa"/>
            <w:vAlign w:val="center"/>
          </w:tcPr>
          <w:p>
            <w:pPr>
              <w:spacing w:line="210" w:lineRule="exact"/>
              <w:rPr>
                <w:rFonts w:ascii="宋体" w:hAnsi="宋体"/>
                <w:sz w:val="19"/>
                <w:szCs w:val="21"/>
              </w:rPr>
            </w:pPr>
            <w:r>
              <w:rPr>
                <w:rFonts w:hint="eastAsia" w:ascii="宋体" w:hAnsi="宋体"/>
                <w:sz w:val="19"/>
                <w:szCs w:val="21"/>
              </w:rPr>
              <w:t>可行性论证充分，规划、管理办法、指导意见等制度是否健全完善</w:t>
            </w:r>
          </w:p>
        </w:tc>
        <w:tc>
          <w:tcPr>
            <w:tcW w:w="767" w:type="dxa"/>
            <w:gridSpan w:val="2"/>
            <w:vAlign w:val="center"/>
          </w:tcPr>
          <w:p>
            <w:pPr>
              <w:spacing w:line="210" w:lineRule="exact"/>
              <w:rPr>
                <w:rFonts w:ascii="宋体" w:hAnsi="宋体"/>
                <w:sz w:val="19"/>
                <w:szCs w:val="21"/>
              </w:rPr>
            </w:pPr>
            <w:r>
              <w:rPr>
                <w:rFonts w:hint="eastAsia" w:ascii="宋体" w:hAnsi="宋体"/>
                <w:sz w:val="1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719" w:type="dxa"/>
            <w:vMerge w:val="continue"/>
            <w:textDirection w:val="tbRlV"/>
            <w:vAlign w:val="center"/>
          </w:tcPr>
          <w:p>
            <w:pPr>
              <w:spacing w:line="210" w:lineRule="exact"/>
              <w:ind w:left="113" w:right="113"/>
              <w:jc w:val="center"/>
              <w:rPr>
                <w:rFonts w:ascii="宋体" w:hAnsi="宋体"/>
                <w:sz w:val="19"/>
                <w:szCs w:val="21"/>
              </w:rPr>
            </w:pPr>
          </w:p>
        </w:tc>
        <w:tc>
          <w:tcPr>
            <w:tcW w:w="719" w:type="dxa"/>
            <w:vMerge w:val="restart"/>
            <w:textDirection w:val="tbRlV"/>
            <w:vAlign w:val="center"/>
          </w:tcPr>
          <w:p>
            <w:pPr>
              <w:spacing w:line="210" w:lineRule="exact"/>
              <w:ind w:left="113" w:right="113"/>
              <w:jc w:val="center"/>
              <w:rPr>
                <w:rFonts w:ascii="宋体" w:hAnsi="宋体"/>
                <w:sz w:val="19"/>
                <w:szCs w:val="21"/>
              </w:rPr>
            </w:pPr>
            <w:r>
              <w:rPr>
                <w:rFonts w:hint="eastAsia" w:ascii="宋体" w:hAnsi="宋体"/>
                <w:sz w:val="19"/>
                <w:szCs w:val="21"/>
              </w:rPr>
              <w:t>（10分）</w:t>
            </w:r>
          </w:p>
          <w:p>
            <w:pPr>
              <w:spacing w:line="210" w:lineRule="exact"/>
              <w:ind w:left="113" w:right="113"/>
              <w:jc w:val="center"/>
              <w:rPr>
                <w:rFonts w:ascii="宋体" w:hAnsi="宋体"/>
                <w:sz w:val="19"/>
                <w:szCs w:val="21"/>
              </w:rPr>
            </w:pPr>
            <w:r>
              <w:rPr>
                <w:rFonts w:hint="eastAsia" w:ascii="宋体" w:hAnsi="宋体"/>
                <w:sz w:val="19"/>
                <w:szCs w:val="21"/>
              </w:rPr>
              <w:t>绩效目标</w:t>
            </w:r>
          </w:p>
        </w:tc>
        <w:tc>
          <w:tcPr>
            <w:tcW w:w="1439" w:type="dxa"/>
            <w:vAlign w:val="center"/>
          </w:tcPr>
          <w:p>
            <w:pPr>
              <w:spacing w:line="210" w:lineRule="exact"/>
              <w:jc w:val="center"/>
              <w:rPr>
                <w:rFonts w:ascii="宋体" w:hAnsi="宋体"/>
                <w:sz w:val="19"/>
                <w:szCs w:val="21"/>
              </w:rPr>
            </w:pPr>
            <w:r>
              <w:rPr>
                <w:rFonts w:hint="eastAsia" w:ascii="宋体" w:hAnsi="宋体"/>
                <w:sz w:val="19"/>
                <w:szCs w:val="21"/>
              </w:rPr>
              <w:t>明确性</w:t>
            </w:r>
          </w:p>
        </w:tc>
        <w:tc>
          <w:tcPr>
            <w:tcW w:w="484" w:type="dxa"/>
            <w:vAlign w:val="center"/>
          </w:tcPr>
          <w:p>
            <w:pPr>
              <w:spacing w:line="210" w:lineRule="exact"/>
              <w:jc w:val="center"/>
              <w:rPr>
                <w:rFonts w:ascii="宋体" w:hAnsi="宋体"/>
                <w:sz w:val="19"/>
                <w:szCs w:val="21"/>
              </w:rPr>
            </w:pPr>
            <w:r>
              <w:rPr>
                <w:rFonts w:hint="eastAsia" w:ascii="宋体" w:hAnsi="宋体"/>
                <w:sz w:val="19"/>
                <w:szCs w:val="21"/>
              </w:rPr>
              <w:t>5</w:t>
            </w:r>
          </w:p>
        </w:tc>
        <w:tc>
          <w:tcPr>
            <w:tcW w:w="4872" w:type="dxa"/>
            <w:vAlign w:val="center"/>
          </w:tcPr>
          <w:p>
            <w:pPr>
              <w:spacing w:line="210" w:lineRule="exact"/>
              <w:rPr>
                <w:rFonts w:ascii="宋体" w:hAnsi="宋体"/>
                <w:sz w:val="19"/>
                <w:szCs w:val="21"/>
              </w:rPr>
            </w:pPr>
            <w:r>
              <w:rPr>
                <w:rFonts w:hint="eastAsia" w:ascii="宋体" w:hAnsi="宋体"/>
                <w:sz w:val="19"/>
                <w:szCs w:val="21"/>
              </w:rPr>
              <w:t>项目预期提供的产品、服务、效益或其他目标明确细化，可衡量</w:t>
            </w:r>
          </w:p>
        </w:tc>
        <w:tc>
          <w:tcPr>
            <w:tcW w:w="767" w:type="dxa"/>
            <w:gridSpan w:val="2"/>
            <w:vAlign w:val="center"/>
          </w:tcPr>
          <w:p>
            <w:pPr>
              <w:spacing w:line="210" w:lineRule="exact"/>
              <w:rPr>
                <w:rFonts w:ascii="宋体" w:hAnsi="宋体"/>
                <w:sz w:val="19"/>
                <w:szCs w:val="21"/>
              </w:rPr>
            </w:pPr>
            <w:r>
              <w:rPr>
                <w:rFonts w:hint="eastAsia" w:ascii="宋体" w:hAnsi="宋体"/>
                <w:sz w:val="1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719" w:type="dxa"/>
            <w:vMerge w:val="continue"/>
            <w:textDirection w:val="tbRlV"/>
            <w:vAlign w:val="center"/>
          </w:tcPr>
          <w:p>
            <w:pPr>
              <w:spacing w:line="210" w:lineRule="exact"/>
              <w:ind w:left="113" w:right="113"/>
              <w:jc w:val="center"/>
              <w:rPr>
                <w:rFonts w:ascii="宋体" w:hAnsi="宋体"/>
                <w:sz w:val="19"/>
                <w:szCs w:val="21"/>
              </w:rPr>
            </w:pPr>
          </w:p>
        </w:tc>
        <w:tc>
          <w:tcPr>
            <w:tcW w:w="719" w:type="dxa"/>
            <w:vMerge w:val="continue"/>
            <w:textDirection w:val="tbRlV"/>
            <w:vAlign w:val="center"/>
          </w:tcPr>
          <w:p>
            <w:pPr>
              <w:spacing w:line="210" w:lineRule="exact"/>
              <w:ind w:left="113" w:right="113"/>
              <w:jc w:val="center"/>
              <w:rPr>
                <w:rFonts w:ascii="宋体" w:hAnsi="宋体"/>
                <w:sz w:val="19"/>
                <w:szCs w:val="21"/>
              </w:rPr>
            </w:pPr>
          </w:p>
        </w:tc>
        <w:tc>
          <w:tcPr>
            <w:tcW w:w="1439" w:type="dxa"/>
            <w:vAlign w:val="center"/>
          </w:tcPr>
          <w:p>
            <w:pPr>
              <w:spacing w:line="210" w:lineRule="exact"/>
              <w:jc w:val="center"/>
              <w:rPr>
                <w:rFonts w:ascii="宋体" w:hAnsi="宋体"/>
                <w:sz w:val="19"/>
                <w:szCs w:val="21"/>
              </w:rPr>
            </w:pPr>
            <w:r>
              <w:rPr>
                <w:rFonts w:hint="eastAsia" w:ascii="宋体" w:hAnsi="宋体"/>
                <w:sz w:val="19"/>
                <w:szCs w:val="21"/>
              </w:rPr>
              <w:t>合理性</w:t>
            </w:r>
          </w:p>
        </w:tc>
        <w:tc>
          <w:tcPr>
            <w:tcW w:w="484" w:type="dxa"/>
            <w:vAlign w:val="center"/>
          </w:tcPr>
          <w:p>
            <w:pPr>
              <w:spacing w:line="210" w:lineRule="exact"/>
              <w:jc w:val="center"/>
              <w:rPr>
                <w:rFonts w:ascii="宋体" w:hAnsi="宋体"/>
                <w:sz w:val="19"/>
                <w:szCs w:val="21"/>
              </w:rPr>
            </w:pPr>
            <w:r>
              <w:rPr>
                <w:rFonts w:hint="eastAsia" w:ascii="宋体" w:hAnsi="宋体"/>
                <w:sz w:val="19"/>
                <w:szCs w:val="21"/>
              </w:rPr>
              <w:t>5</w:t>
            </w:r>
          </w:p>
        </w:tc>
        <w:tc>
          <w:tcPr>
            <w:tcW w:w="4872" w:type="dxa"/>
            <w:vAlign w:val="center"/>
          </w:tcPr>
          <w:p>
            <w:pPr>
              <w:spacing w:line="210" w:lineRule="exact"/>
              <w:rPr>
                <w:rFonts w:ascii="宋体" w:hAnsi="宋体"/>
                <w:sz w:val="19"/>
                <w:szCs w:val="21"/>
              </w:rPr>
            </w:pPr>
            <w:r>
              <w:rPr>
                <w:rFonts w:hint="eastAsia" w:ascii="宋体" w:hAnsi="宋体"/>
                <w:sz w:val="19"/>
                <w:szCs w:val="21"/>
              </w:rPr>
              <w:t>绩效目标设定符合实际需求，合理可行</w:t>
            </w:r>
          </w:p>
        </w:tc>
        <w:tc>
          <w:tcPr>
            <w:tcW w:w="767" w:type="dxa"/>
            <w:gridSpan w:val="2"/>
            <w:vAlign w:val="center"/>
          </w:tcPr>
          <w:p>
            <w:pPr>
              <w:spacing w:line="210" w:lineRule="exact"/>
              <w:rPr>
                <w:rFonts w:ascii="宋体" w:hAnsi="宋体"/>
                <w:sz w:val="19"/>
                <w:szCs w:val="21"/>
              </w:rPr>
            </w:pPr>
            <w:r>
              <w:rPr>
                <w:rFonts w:hint="eastAsia" w:ascii="宋体" w:hAnsi="宋体"/>
                <w:sz w:val="1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719" w:type="dxa"/>
            <w:vMerge w:val="restart"/>
            <w:textDirection w:val="tbRlV"/>
            <w:vAlign w:val="center"/>
          </w:tcPr>
          <w:p>
            <w:pPr>
              <w:spacing w:line="210" w:lineRule="exact"/>
              <w:ind w:left="113" w:right="113"/>
              <w:jc w:val="center"/>
              <w:rPr>
                <w:rFonts w:ascii="宋体" w:hAnsi="宋体"/>
                <w:sz w:val="19"/>
                <w:szCs w:val="21"/>
              </w:rPr>
            </w:pPr>
            <w:r>
              <w:rPr>
                <w:rFonts w:hint="eastAsia" w:ascii="宋体" w:hAnsi="宋体"/>
                <w:sz w:val="19"/>
                <w:szCs w:val="21"/>
              </w:rPr>
              <w:t>（10分）</w:t>
            </w:r>
          </w:p>
          <w:p>
            <w:pPr>
              <w:spacing w:line="210" w:lineRule="exact"/>
              <w:ind w:left="113" w:right="113"/>
              <w:jc w:val="center"/>
              <w:rPr>
                <w:rFonts w:ascii="宋体" w:hAnsi="宋体"/>
                <w:sz w:val="19"/>
                <w:szCs w:val="21"/>
              </w:rPr>
            </w:pPr>
            <w:r>
              <w:rPr>
                <w:rFonts w:hint="eastAsia" w:ascii="宋体" w:hAnsi="宋体"/>
                <w:sz w:val="19"/>
                <w:szCs w:val="21"/>
              </w:rPr>
              <w:t>项目管理</w:t>
            </w:r>
          </w:p>
        </w:tc>
        <w:tc>
          <w:tcPr>
            <w:tcW w:w="719" w:type="dxa"/>
            <w:vMerge w:val="restart"/>
            <w:textDirection w:val="tbRlV"/>
            <w:vAlign w:val="center"/>
          </w:tcPr>
          <w:p>
            <w:pPr>
              <w:spacing w:line="210" w:lineRule="exact"/>
              <w:ind w:left="113" w:right="113"/>
              <w:jc w:val="center"/>
              <w:rPr>
                <w:rFonts w:ascii="宋体" w:hAnsi="宋体"/>
                <w:sz w:val="19"/>
                <w:szCs w:val="21"/>
              </w:rPr>
            </w:pPr>
            <w:r>
              <w:rPr>
                <w:rFonts w:hint="eastAsia" w:ascii="宋体" w:hAnsi="宋体"/>
                <w:sz w:val="19"/>
                <w:szCs w:val="21"/>
              </w:rPr>
              <w:t>（7分）</w:t>
            </w:r>
          </w:p>
          <w:p>
            <w:pPr>
              <w:spacing w:line="210" w:lineRule="exact"/>
              <w:ind w:left="113" w:right="113"/>
              <w:jc w:val="center"/>
              <w:rPr>
                <w:rFonts w:ascii="宋体" w:hAnsi="宋体"/>
                <w:sz w:val="19"/>
                <w:szCs w:val="21"/>
              </w:rPr>
            </w:pPr>
            <w:r>
              <w:rPr>
                <w:rFonts w:hint="eastAsia" w:ascii="宋体" w:hAnsi="宋体"/>
                <w:sz w:val="19"/>
                <w:szCs w:val="21"/>
              </w:rPr>
              <w:t>资金管理</w:t>
            </w:r>
          </w:p>
        </w:tc>
        <w:tc>
          <w:tcPr>
            <w:tcW w:w="1439" w:type="dxa"/>
            <w:vAlign w:val="center"/>
          </w:tcPr>
          <w:p>
            <w:pPr>
              <w:spacing w:line="210" w:lineRule="exact"/>
              <w:jc w:val="center"/>
              <w:rPr>
                <w:rFonts w:ascii="宋体" w:hAnsi="宋体"/>
                <w:sz w:val="19"/>
                <w:szCs w:val="21"/>
              </w:rPr>
            </w:pPr>
            <w:r>
              <w:rPr>
                <w:rFonts w:hint="eastAsia" w:ascii="宋体" w:hAnsi="宋体"/>
                <w:sz w:val="19"/>
                <w:szCs w:val="21"/>
              </w:rPr>
              <w:t>资金分配</w:t>
            </w:r>
          </w:p>
        </w:tc>
        <w:tc>
          <w:tcPr>
            <w:tcW w:w="484" w:type="dxa"/>
            <w:vAlign w:val="center"/>
          </w:tcPr>
          <w:p>
            <w:pPr>
              <w:spacing w:line="210" w:lineRule="exact"/>
              <w:jc w:val="center"/>
              <w:rPr>
                <w:rFonts w:ascii="宋体" w:hAnsi="宋体"/>
                <w:sz w:val="19"/>
                <w:szCs w:val="21"/>
              </w:rPr>
            </w:pPr>
            <w:r>
              <w:rPr>
                <w:rFonts w:hint="eastAsia" w:ascii="宋体" w:hAnsi="宋体"/>
                <w:sz w:val="19"/>
                <w:szCs w:val="21"/>
              </w:rPr>
              <w:t>3</w:t>
            </w:r>
          </w:p>
        </w:tc>
        <w:tc>
          <w:tcPr>
            <w:tcW w:w="4872" w:type="dxa"/>
            <w:vAlign w:val="center"/>
          </w:tcPr>
          <w:p>
            <w:pPr>
              <w:spacing w:line="210" w:lineRule="exact"/>
              <w:rPr>
                <w:rFonts w:ascii="宋体" w:hAnsi="宋体"/>
                <w:sz w:val="19"/>
                <w:szCs w:val="21"/>
              </w:rPr>
            </w:pPr>
            <w:r>
              <w:rPr>
                <w:rFonts w:hint="eastAsia" w:ascii="宋体" w:hAnsi="宋体"/>
                <w:sz w:val="19"/>
                <w:szCs w:val="21"/>
              </w:rPr>
              <w:t>资金分配管理是否科学合理、规范有序;是否体现突出重点或公平性，符合财政资金改革方向</w:t>
            </w:r>
          </w:p>
        </w:tc>
        <w:tc>
          <w:tcPr>
            <w:tcW w:w="767" w:type="dxa"/>
            <w:gridSpan w:val="2"/>
            <w:vAlign w:val="center"/>
          </w:tcPr>
          <w:p>
            <w:pPr>
              <w:spacing w:line="210" w:lineRule="exact"/>
              <w:rPr>
                <w:rFonts w:ascii="宋体" w:hAnsi="宋体"/>
                <w:sz w:val="19"/>
                <w:szCs w:val="21"/>
              </w:rPr>
            </w:pPr>
            <w:r>
              <w:rPr>
                <w:rFonts w:hint="eastAsia" w:ascii="宋体" w:hAnsi="宋体"/>
                <w:sz w:val="19"/>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19" w:type="dxa"/>
            <w:vMerge w:val="continue"/>
            <w:textDirection w:val="tbRlV"/>
            <w:vAlign w:val="center"/>
          </w:tcPr>
          <w:p>
            <w:pPr>
              <w:spacing w:line="210" w:lineRule="exact"/>
              <w:ind w:left="113" w:right="113"/>
              <w:jc w:val="center"/>
              <w:rPr>
                <w:rFonts w:ascii="宋体" w:hAnsi="宋体"/>
                <w:sz w:val="19"/>
                <w:szCs w:val="21"/>
              </w:rPr>
            </w:pPr>
          </w:p>
        </w:tc>
        <w:tc>
          <w:tcPr>
            <w:tcW w:w="719" w:type="dxa"/>
            <w:vMerge w:val="continue"/>
            <w:textDirection w:val="tbRlV"/>
            <w:vAlign w:val="center"/>
          </w:tcPr>
          <w:p>
            <w:pPr>
              <w:spacing w:line="210" w:lineRule="exact"/>
              <w:ind w:left="113" w:right="113"/>
              <w:jc w:val="center"/>
              <w:rPr>
                <w:rFonts w:ascii="宋体" w:hAnsi="宋体"/>
                <w:sz w:val="19"/>
                <w:szCs w:val="21"/>
              </w:rPr>
            </w:pPr>
          </w:p>
        </w:tc>
        <w:tc>
          <w:tcPr>
            <w:tcW w:w="1439" w:type="dxa"/>
            <w:vAlign w:val="center"/>
          </w:tcPr>
          <w:p>
            <w:pPr>
              <w:spacing w:line="210" w:lineRule="exact"/>
              <w:jc w:val="center"/>
              <w:rPr>
                <w:rFonts w:ascii="宋体" w:hAnsi="宋体"/>
                <w:sz w:val="19"/>
                <w:szCs w:val="21"/>
              </w:rPr>
            </w:pPr>
            <w:r>
              <w:rPr>
                <w:rFonts w:hint="eastAsia" w:ascii="宋体" w:hAnsi="宋体"/>
                <w:sz w:val="19"/>
                <w:szCs w:val="21"/>
              </w:rPr>
              <w:t>资金使用</w:t>
            </w:r>
          </w:p>
        </w:tc>
        <w:tc>
          <w:tcPr>
            <w:tcW w:w="484" w:type="dxa"/>
            <w:vAlign w:val="center"/>
          </w:tcPr>
          <w:p>
            <w:pPr>
              <w:spacing w:line="210" w:lineRule="exact"/>
              <w:jc w:val="center"/>
              <w:rPr>
                <w:rFonts w:ascii="宋体" w:hAnsi="宋体"/>
                <w:sz w:val="19"/>
                <w:szCs w:val="21"/>
              </w:rPr>
            </w:pPr>
            <w:r>
              <w:rPr>
                <w:rFonts w:hint="eastAsia" w:ascii="宋体" w:hAnsi="宋体"/>
                <w:sz w:val="19"/>
                <w:szCs w:val="21"/>
              </w:rPr>
              <w:t>4</w:t>
            </w:r>
          </w:p>
        </w:tc>
        <w:tc>
          <w:tcPr>
            <w:tcW w:w="4872" w:type="dxa"/>
            <w:vAlign w:val="center"/>
          </w:tcPr>
          <w:p>
            <w:pPr>
              <w:spacing w:line="210" w:lineRule="exact"/>
              <w:rPr>
                <w:rFonts w:ascii="宋体" w:hAnsi="宋体"/>
                <w:sz w:val="19"/>
                <w:szCs w:val="21"/>
              </w:rPr>
            </w:pPr>
            <w:r>
              <w:rPr>
                <w:rFonts w:hint="eastAsia" w:ascii="宋体" w:hAnsi="宋体"/>
                <w:sz w:val="19"/>
                <w:szCs w:val="21"/>
              </w:rPr>
              <w:t>资金使用规范</w:t>
            </w:r>
          </w:p>
        </w:tc>
        <w:tc>
          <w:tcPr>
            <w:tcW w:w="767" w:type="dxa"/>
            <w:gridSpan w:val="2"/>
            <w:vAlign w:val="center"/>
          </w:tcPr>
          <w:p>
            <w:pPr>
              <w:spacing w:line="210" w:lineRule="exact"/>
              <w:rPr>
                <w:rFonts w:ascii="宋体" w:hAnsi="宋体"/>
                <w:sz w:val="19"/>
                <w:szCs w:val="21"/>
              </w:rPr>
            </w:pPr>
            <w:r>
              <w:rPr>
                <w:rFonts w:hint="eastAsia" w:ascii="宋体" w:hAnsi="宋体"/>
                <w:sz w:val="19"/>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3" w:hRule="atLeast"/>
          <w:jc w:val="center"/>
        </w:trPr>
        <w:tc>
          <w:tcPr>
            <w:tcW w:w="719" w:type="dxa"/>
            <w:vMerge w:val="continue"/>
            <w:textDirection w:val="tbRlV"/>
            <w:vAlign w:val="center"/>
          </w:tcPr>
          <w:p>
            <w:pPr>
              <w:spacing w:line="210" w:lineRule="exact"/>
              <w:ind w:left="113" w:right="113"/>
              <w:jc w:val="center"/>
              <w:rPr>
                <w:rFonts w:ascii="宋体" w:hAnsi="宋体"/>
                <w:sz w:val="19"/>
                <w:szCs w:val="21"/>
              </w:rPr>
            </w:pPr>
          </w:p>
        </w:tc>
        <w:tc>
          <w:tcPr>
            <w:tcW w:w="719" w:type="dxa"/>
            <w:textDirection w:val="tbRlV"/>
            <w:vAlign w:val="center"/>
          </w:tcPr>
          <w:p>
            <w:pPr>
              <w:spacing w:line="210" w:lineRule="exact"/>
              <w:ind w:left="113" w:right="113"/>
              <w:jc w:val="center"/>
              <w:rPr>
                <w:rFonts w:ascii="宋体" w:hAnsi="宋体"/>
                <w:sz w:val="19"/>
                <w:szCs w:val="21"/>
              </w:rPr>
            </w:pPr>
            <w:r>
              <w:rPr>
                <w:rFonts w:hint="eastAsia" w:ascii="宋体" w:hAnsi="宋体"/>
                <w:sz w:val="19"/>
                <w:szCs w:val="21"/>
              </w:rPr>
              <w:t>（3分）</w:t>
            </w:r>
          </w:p>
          <w:p>
            <w:pPr>
              <w:spacing w:line="210" w:lineRule="exact"/>
              <w:ind w:left="113" w:right="113"/>
              <w:jc w:val="center"/>
              <w:rPr>
                <w:rFonts w:ascii="宋体" w:hAnsi="宋体"/>
                <w:sz w:val="19"/>
                <w:szCs w:val="21"/>
              </w:rPr>
            </w:pPr>
            <w:r>
              <w:rPr>
                <w:rFonts w:hint="eastAsia" w:ascii="宋体" w:hAnsi="宋体"/>
                <w:sz w:val="19"/>
                <w:szCs w:val="21"/>
              </w:rPr>
              <w:t>项目执行</w:t>
            </w:r>
          </w:p>
        </w:tc>
        <w:tc>
          <w:tcPr>
            <w:tcW w:w="1439" w:type="dxa"/>
            <w:vAlign w:val="center"/>
          </w:tcPr>
          <w:p>
            <w:pPr>
              <w:spacing w:line="210" w:lineRule="exact"/>
              <w:jc w:val="center"/>
              <w:rPr>
                <w:rFonts w:ascii="宋体" w:hAnsi="宋体"/>
                <w:sz w:val="19"/>
                <w:szCs w:val="21"/>
              </w:rPr>
            </w:pPr>
            <w:r>
              <w:rPr>
                <w:rFonts w:hint="eastAsia" w:ascii="宋体" w:hAnsi="宋体"/>
                <w:sz w:val="19"/>
                <w:szCs w:val="21"/>
              </w:rPr>
              <w:t>执行规范</w:t>
            </w:r>
          </w:p>
        </w:tc>
        <w:tc>
          <w:tcPr>
            <w:tcW w:w="484" w:type="dxa"/>
            <w:vAlign w:val="center"/>
          </w:tcPr>
          <w:p>
            <w:pPr>
              <w:spacing w:line="210" w:lineRule="exact"/>
              <w:jc w:val="center"/>
              <w:rPr>
                <w:rFonts w:ascii="宋体" w:hAnsi="宋体"/>
                <w:sz w:val="19"/>
                <w:szCs w:val="21"/>
              </w:rPr>
            </w:pPr>
            <w:r>
              <w:rPr>
                <w:rFonts w:hint="eastAsia" w:ascii="宋体" w:hAnsi="宋体"/>
                <w:sz w:val="19"/>
                <w:szCs w:val="21"/>
              </w:rPr>
              <w:t>3</w:t>
            </w:r>
          </w:p>
        </w:tc>
        <w:tc>
          <w:tcPr>
            <w:tcW w:w="4872" w:type="dxa"/>
            <w:vAlign w:val="center"/>
          </w:tcPr>
          <w:p>
            <w:pPr>
              <w:spacing w:line="210" w:lineRule="exact"/>
              <w:rPr>
                <w:rFonts w:ascii="宋体" w:hAnsi="宋体"/>
                <w:sz w:val="19"/>
                <w:szCs w:val="21"/>
              </w:rPr>
            </w:pPr>
            <w:r>
              <w:rPr>
                <w:rFonts w:hint="eastAsia" w:ascii="宋体" w:hAnsi="宋体"/>
                <w:sz w:val="19"/>
                <w:szCs w:val="21"/>
              </w:rPr>
              <w:t>管理制度健全，管理过程科学规范</w:t>
            </w:r>
          </w:p>
        </w:tc>
        <w:tc>
          <w:tcPr>
            <w:tcW w:w="767" w:type="dxa"/>
            <w:gridSpan w:val="2"/>
            <w:vAlign w:val="center"/>
          </w:tcPr>
          <w:p>
            <w:pPr>
              <w:spacing w:line="210" w:lineRule="exact"/>
              <w:rPr>
                <w:rFonts w:ascii="宋体" w:hAnsi="宋体"/>
                <w:sz w:val="19"/>
                <w:szCs w:val="21"/>
              </w:rPr>
            </w:pPr>
            <w:r>
              <w:rPr>
                <w:rFonts w:hint="eastAsia" w:ascii="宋体" w:hAnsi="宋体"/>
                <w:sz w:val="19"/>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719" w:type="dxa"/>
            <w:vMerge w:val="restart"/>
            <w:textDirection w:val="tbRlV"/>
            <w:vAlign w:val="center"/>
          </w:tcPr>
          <w:p>
            <w:pPr>
              <w:spacing w:line="210" w:lineRule="exact"/>
              <w:ind w:left="113" w:right="113"/>
              <w:jc w:val="center"/>
              <w:rPr>
                <w:rFonts w:ascii="宋体" w:hAnsi="宋体"/>
                <w:sz w:val="19"/>
                <w:szCs w:val="21"/>
              </w:rPr>
            </w:pPr>
            <w:r>
              <w:rPr>
                <w:rFonts w:hint="eastAsia" w:ascii="宋体" w:hAnsi="宋体"/>
                <w:sz w:val="19"/>
                <w:szCs w:val="21"/>
              </w:rPr>
              <w:t>（特性指标70分）</w:t>
            </w:r>
          </w:p>
          <w:p>
            <w:pPr>
              <w:spacing w:line="210" w:lineRule="exact"/>
              <w:ind w:left="113" w:right="113"/>
              <w:jc w:val="center"/>
              <w:rPr>
                <w:rFonts w:ascii="宋体" w:hAnsi="宋体"/>
                <w:sz w:val="19"/>
                <w:szCs w:val="21"/>
              </w:rPr>
            </w:pPr>
            <w:r>
              <w:rPr>
                <w:rFonts w:hint="eastAsia" w:ascii="宋体" w:hAnsi="宋体"/>
                <w:sz w:val="19"/>
                <w:szCs w:val="21"/>
              </w:rPr>
              <w:t>项目绩效</w:t>
            </w:r>
          </w:p>
        </w:tc>
        <w:tc>
          <w:tcPr>
            <w:tcW w:w="719" w:type="dxa"/>
            <w:vMerge w:val="restart"/>
            <w:textDirection w:val="tbRlV"/>
            <w:vAlign w:val="center"/>
          </w:tcPr>
          <w:p>
            <w:pPr>
              <w:spacing w:line="210" w:lineRule="exact"/>
              <w:ind w:left="113" w:right="113"/>
              <w:jc w:val="center"/>
              <w:rPr>
                <w:rFonts w:ascii="宋体" w:hAnsi="宋体"/>
                <w:sz w:val="19"/>
                <w:szCs w:val="21"/>
              </w:rPr>
            </w:pPr>
            <w:r>
              <w:rPr>
                <w:rFonts w:hint="eastAsia" w:ascii="宋体" w:hAnsi="宋体"/>
                <w:sz w:val="19"/>
                <w:szCs w:val="21"/>
              </w:rPr>
              <w:t>（20分）</w:t>
            </w:r>
          </w:p>
          <w:p>
            <w:pPr>
              <w:spacing w:line="210" w:lineRule="exact"/>
              <w:ind w:left="113" w:right="113"/>
              <w:jc w:val="center"/>
              <w:rPr>
                <w:rFonts w:ascii="宋体" w:hAnsi="宋体"/>
                <w:sz w:val="19"/>
                <w:szCs w:val="21"/>
              </w:rPr>
            </w:pPr>
            <w:r>
              <w:rPr>
                <w:rFonts w:hint="eastAsia" w:ascii="宋体" w:hAnsi="宋体"/>
                <w:sz w:val="19"/>
                <w:szCs w:val="21"/>
              </w:rPr>
              <w:t>项目完成</w:t>
            </w:r>
          </w:p>
        </w:tc>
        <w:tc>
          <w:tcPr>
            <w:tcW w:w="1439" w:type="dxa"/>
            <w:vAlign w:val="center"/>
          </w:tcPr>
          <w:p>
            <w:pPr>
              <w:spacing w:line="210" w:lineRule="exact"/>
              <w:jc w:val="center"/>
              <w:rPr>
                <w:rFonts w:ascii="宋体" w:hAnsi="宋体"/>
                <w:sz w:val="19"/>
                <w:szCs w:val="21"/>
              </w:rPr>
            </w:pPr>
            <w:r>
              <w:rPr>
                <w:rFonts w:hint="eastAsia" w:ascii="宋体" w:hAnsi="宋体"/>
                <w:sz w:val="19"/>
                <w:szCs w:val="21"/>
              </w:rPr>
              <w:t>完成数量</w:t>
            </w:r>
          </w:p>
        </w:tc>
        <w:tc>
          <w:tcPr>
            <w:tcW w:w="484" w:type="dxa"/>
            <w:vAlign w:val="center"/>
          </w:tcPr>
          <w:p>
            <w:pPr>
              <w:spacing w:line="210" w:lineRule="exact"/>
              <w:jc w:val="center"/>
              <w:rPr>
                <w:rFonts w:ascii="宋体" w:hAnsi="宋体"/>
                <w:sz w:val="19"/>
                <w:szCs w:val="21"/>
              </w:rPr>
            </w:pPr>
            <w:r>
              <w:rPr>
                <w:rFonts w:hint="eastAsia" w:ascii="宋体" w:hAnsi="宋体"/>
                <w:sz w:val="19"/>
                <w:szCs w:val="21"/>
              </w:rPr>
              <w:t>5</w:t>
            </w:r>
          </w:p>
        </w:tc>
        <w:tc>
          <w:tcPr>
            <w:tcW w:w="4872" w:type="dxa"/>
            <w:vAlign w:val="center"/>
          </w:tcPr>
          <w:p>
            <w:pPr>
              <w:spacing w:line="210" w:lineRule="exact"/>
              <w:rPr>
                <w:rFonts w:ascii="宋体" w:hAnsi="宋体"/>
                <w:sz w:val="19"/>
                <w:szCs w:val="21"/>
              </w:rPr>
            </w:pPr>
            <w:r>
              <w:rPr>
                <w:rFonts w:hint="eastAsia" w:ascii="宋体" w:hAnsi="宋体"/>
                <w:sz w:val="19"/>
                <w:szCs w:val="21"/>
              </w:rPr>
              <w:t>实际完成任务量/绩效目标设定任务量×100%</w:t>
            </w:r>
          </w:p>
        </w:tc>
        <w:tc>
          <w:tcPr>
            <w:tcW w:w="767" w:type="dxa"/>
            <w:gridSpan w:val="2"/>
            <w:vAlign w:val="center"/>
          </w:tcPr>
          <w:p>
            <w:pPr>
              <w:spacing w:line="210" w:lineRule="exact"/>
              <w:rPr>
                <w:rFonts w:ascii="宋体" w:hAnsi="宋体"/>
                <w:sz w:val="19"/>
                <w:szCs w:val="21"/>
              </w:rPr>
            </w:pPr>
            <w:r>
              <w:rPr>
                <w:rFonts w:hint="eastAsia" w:ascii="宋体" w:hAnsi="宋体"/>
                <w:sz w:val="1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719" w:type="dxa"/>
            <w:vMerge w:val="continue"/>
            <w:textDirection w:val="tbRlV"/>
            <w:vAlign w:val="center"/>
          </w:tcPr>
          <w:p>
            <w:pPr>
              <w:spacing w:line="210" w:lineRule="exact"/>
              <w:ind w:left="113" w:right="113"/>
              <w:jc w:val="center"/>
              <w:rPr>
                <w:rFonts w:ascii="宋体" w:hAnsi="宋体"/>
                <w:sz w:val="19"/>
                <w:szCs w:val="21"/>
              </w:rPr>
            </w:pPr>
          </w:p>
        </w:tc>
        <w:tc>
          <w:tcPr>
            <w:tcW w:w="719" w:type="dxa"/>
            <w:vMerge w:val="continue"/>
            <w:textDirection w:val="tbRlV"/>
            <w:vAlign w:val="center"/>
          </w:tcPr>
          <w:p>
            <w:pPr>
              <w:spacing w:line="210" w:lineRule="exact"/>
              <w:ind w:left="113" w:right="113"/>
              <w:jc w:val="center"/>
              <w:rPr>
                <w:rFonts w:ascii="宋体" w:hAnsi="宋体"/>
                <w:sz w:val="19"/>
                <w:szCs w:val="21"/>
              </w:rPr>
            </w:pPr>
          </w:p>
        </w:tc>
        <w:tc>
          <w:tcPr>
            <w:tcW w:w="1439" w:type="dxa"/>
            <w:vAlign w:val="center"/>
          </w:tcPr>
          <w:p>
            <w:pPr>
              <w:spacing w:line="210" w:lineRule="exact"/>
              <w:jc w:val="center"/>
              <w:rPr>
                <w:rFonts w:ascii="宋体" w:hAnsi="宋体"/>
                <w:sz w:val="19"/>
                <w:szCs w:val="21"/>
              </w:rPr>
            </w:pPr>
            <w:r>
              <w:rPr>
                <w:rFonts w:hint="eastAsia" w:ascii="宋体" w:hAnsi="宋体"/>
                <w:sz w:val="19"/>
                <w:szCs w:val="21"/>
              </w:rPr>
              <w:t>完成质量</w:t>
            </w:r>
          </w:p>
        </w:tc>
        <w:tc>
          <w:tcPr>
            <w:tcW w:w="484" w:type="dxa"/>
            <w:vAlign w:val="center"/>
          </w:tcPr>
          <w:p>
            <w:pPr>
              <w:spacing w:line="210" w:lineRule="exact"/>
              <w:jc w:val="center"/>
              <w:rPr>
                <w:rFonts w:ascii="宋体" w:hAnsi="宋体"/>
                <w:sz w:val="19"/>
                <w:szCs w:val="21"/>
              </w:rPr>
            </w:pPr>
            <w:r>
              <w:rPr>
                <w:rFonts w:hint="eastAsia" w:ascii="宋体" w:hAnsi="宋体"/>
                <w:sz w:val="19"/>
                <w:szCs w:val="21"/>
              </w:rPr>
              <w:t>5</w:t>
            </w:r>
          </w:p>
        </w:tc>
        <w:tc>
          <w:tcPr>
            <w:tcW w:w="4872" w:type="dxa"/>
            <w:vAlign w:val="center"/>
          </w:tcPr>
          <w:p>
            <w:pPr>
              <w:spacing w:line="210" w:lineRule="exact"/>
              <w:rPr>
                <w:rFonts w:ascii="宋体" w:hAnsi="宋体"/>
                <w:sz w:val="19"/>
                <w:szCs w:val="21"/>
              </w:rPr>
            </w:pPr>
            <w:r>
              <w:rPr>
                <w:rFonts w:hint="eastAsia" w:ascii="宋体" w:hAnsi="宋体"/>
                <w:sz w:val="19"/>
                <w:szCs w:val="21"/>
              </w:rPr>
              <w:t>符合绩效目标设定的验收标准，达到行业基准水平</w:t>
            </w:r>
          </w:p>
        </w:tc>
        <w:tc>
          <w:tcPr>
            <w:tcW w:w="767" w:type="dxa"/>
            <w:gridSpan w:val="2"/>
            <w:vAlign w:val="center"/>
          </w:tcPr>
          <w:p>
            <w:pPr>
              <w:spacing w:line="210" w:lineRule="exact"/>
              <w:rPr>
                <w:rFonts w:ascii="宋体" w:hAnsi="宋体"/>
                <w:sz w:val="19"/>
                <w:szCs w:val="21"/>
              </w:rPr>
            </w:pPr>
            <w:r>
              <w:rPr>
                <w:rFonts w:hint="eastAsia" w:ascii="宋体" w:hAnsi="宋体"/>
                <w:sz w:val="1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719" w:type="dxa"/>
            <w:vMerge w:val="continue"/>
            <w:textDirection w:val="tbRlV"/>
            <w:vAlign w:val="center"/>
          </w:tcPr>
          <w:p>
            <w:pPr>
              <w:spacing w:line="210" w:lineRule="exact"/>
              <w:ind w:left="113" w:right="113"/>
              <w:jc w:val="center"/>
              <w:rPr>
                <w:rFonts w:ascii="宋体" w:hAnsi="宋体"/>
                <w:sz w:val="19"/>
                <w:szCs w:val="21"/>
              </w:rPr>
            </w:pPr>
          </w:p>
        </w:tc>
        <w:tc>
          <w:tcPr>
            <w:tcW w:w="719" w:type="dxa"/>
            <w:vMerge w:val="continue"/>
            <w:textDirection w:val="tbRlV"/>
            <w:vAlign w:val="center"/>
          </w:tcPr>
          <w:p>
            <w:pPr>
              <w:spacing w:line="210" w:lineRule="exact"/>
              <w:ind w:left="113" w:right="113"/>
              <w:jc w:val="center"/>
              <w:rPr>
                <w:rFonts w:ascii="宋体" w:hAnsi="宋体"/>
                <w:sz w:val="19"/>
                <w:szCs w:val="21"/>
              </w:rPr>
            </w:pPr>
          </w:p>
        </w:tc>
        <w:tc>
          <w:tcPr>
            <w:tcW w:w="1439" w:type="dxa"/>
            <w:vAlign w:val="center"/>
          </w:tcPr>
          <w:p>
            <w:pPr>
              <w:spacing w:line="210" w:lineRule="exact"/>
              <w:jc w:val="center"/>
              <w:rPr>
                <w:rFonts w:ascii="宋体" w:hAnsi="宋体"/>
                <w:sz w:val="19"/>
                <w:szCs w:val="21"/>
              </w:rPr>
            </w:pPr>
            <w:r>
              <w:rPr>
                <w:rFonts w:hint="eastAsia" w:ascii="宋体" w:hAnsi="宋体"/>
                <w:sz w:val="19"/>
                <w:szCs w:val="21"/>
              </w:rPr>
              <w:t>完成时效</w:t>
            </w:r>
          </w:p>
        </w:tc>
        <w:tc>
          <w:tcPr>
            <w:tcW w:w="484" w:type="dxa"/>
            <w:vAlign w:val="center"/>
          </w:tcPr>
          <w:p>
            <w:pPr>
              <w:spacing w:line="210" w:lineRule="exact"/>
              <w:jc w:val="center"/>
              <w:rPr>
                <w:rFonts w:ascii="宋体" w:hAnsi="宋体"/>
                <w:sz w:val="19"/>
                <w:szCs w:val="21"/>
              </w:rPr>
            </w:pPr>
            <w:r>
              <w:rPr>
                <w:rFonts w:hint="eastAsia" w:ascii="宋体" w:hAnsi="宋体"/>
                <w:sz w:val="19"/>
                <w:szCs w:val="21"/>
              </w:rPr>
              <w:t>5</w:t>
            </w:r>
          </w:p>
        </w:tc>
        <w:tc>
          <w:tcPr>
            <w:tcW w:w="4872" w:type="dxa"/>
            <w:vAlign w:val="center"/>
          </w:tcPr>
          <w:p>
            <w:pPr>
              <w:spacing w:line="210" w:lineRule="exact"/>
              <w:rPr>
                <w:rFonts w:ascii="宋体" w:hAnsi="宋体"/>
                <w:sz w:val="19"/>
                <w:szCs w:val="21"/>
              </w:rPr>
            </w:pPr>
            <w:r>
              <w:rPr>
                <w:rFonts w:hint="eastAsia" w:ascii="宋体" w:hAnsi="宋体"/>
                <w:sz w:val="19"/>
                <w:szCs w:val="21"/>
              </w:rPr>
              <w:t>（实际完成时间-绩效目标设定完成时间）/绩效目标设定完成时间×100%</w:t>
            </w:r>
          </w:p>
        </w:tc>
        <w:tc>
          <w:tcPr>
            <w:tcW w:w="767" w:type="dxa"/>
            <w:gridSpan w:val="2"/>
            <w:vAlign w:val="center"/>
          </w:tcPr>
          <w:p>
            <w:pPr>
              <w:spacing w:line="210" w:lineRule="exact"/>
              <w:rPr>
                <w:rFonts w:ascii="宋体" w:hAnsi="宋体"/>
                <w:sz w:val="19"/>
                <w:szCs w:val="21"/>
              </w:rPr>
            </w:pPr>
            <w:r>
              <w:rPr>
                <w:rFonts w:hint="eastAsia" w:ascii="宋体" w:hAnsi="宋体"/>
                <w:sz w:val="1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719" w:type="dxa"/>
            <w:vMerge w:val="continue"/>
            <w:textDirection w:val="tbRlV"/>
            <w:vAlign w:val="center"/>
          </w:tcPr>
          <w:p>
            <w:pPr>
              <w:spacing w:line="210" w:lineRule="exact"/>
              <w:ind w:left="113" w:right="113"/>
              <w:jc w:val="center"/>
              <w:rPr>
                <w:rFonts w:ascii="宋体" w:hAnsi="宋体"/>
                <w:sz w:val="19"/>
                <w:szCs w:val="21"/>
              </w:rPr>
            </w:pPr>
          </w:p>
        </w:tc>
        <w:tc>
          <w:tcPr>
            <w:tcW w:w="719" w:type="dxa"/>
            <w:vMerge w:val="continue"/>
            <w:textDirection w:val="tbRlV"/>
            <w:vAlign w:val="center"/>
          </w:tcPr>
          <w:p>
            <w:pPr>
              <w:spacing w:line="210" w:lineRule="exact"/>
              <w:ind w:left="113" w:right="113"/>
              <w:jc w:val="center"/>
              <w:rPr>
                <w:rFonts w:ascii="宋体" w:hAnsi="宋体"/>
                <w:sz w:val="19"/>
                <w:szCs w:val="21"/>
              </w:rPr>
            </w:pPr>
          </w:p>
        </w:tc>
        <w:tc>
          <w:tcPr>
            <w:tcW w:w="1439" w:type="dxa"/>
            <w:vAlign w:val="center"/>
          </w:tcPr>
          <w:p>
            <w:pPr>
              <w:spacing w:line="210" w:lineRule="exact"/>
              <w:jc w:val="center"/>
              <w:rPr>
                <w:rFonts w:ascii="宋体" w:hAnsi="宋体"/>
                <w:sz w:val="19"/>
                <w:szCs w:val="21"/>
              </w:rPr>
            </w:pPr>
            <w:r>
              <w:rPr>
                <w:rFonts w:hint="eastAsia" w:ascii="宋体" w:hAnsi="宋体"/>
                <w:sz w:val="19"/>
                <w:szCs w:val="21"/>
              </w:rPr>
              <w:t>完成成本</w:t>
            </w:r>
          </w:p>
        </w:tc>
        <w:tc>
          <w:tcPr>
            <w:tcW w:w="484" w:type="dxa"/>
            <w:vAlign w:val="center"/>
          </w:tcPr>
          <w:p>
            <w:pPr>
              <w:spacing w:line="210" w:lineRule="exact"/>
              <w:jc w:val="center"/>
              <w:rPr>
                <w:rFonts w:ascii="宋体" w:hAnsi="宋体"/>
                <w:sz w:val="19"/>
                <w:szCs w:val="21"/>
              </w:rPr>
            </w:pPr>
            <w:r>
              <w:rPr>
                <w:rFonts w:hint="eastAsia" w:ascii="宋体" w:hAnsi="宋体"/>
                <w:sz w:val="19"/>
                <w:szCs w:val="21"/>
              </w:rPr>
              <w:t>5</w:t>
            </w:r>
          </w:p>
        </w:tc>
        <w:tc>
          <w:tcPr>
            <w:tcW w:w="4872" w:type="dxa"/>
            <w:vAlign w:val="center"/>
          </w:tcPr>
          <w:p>
            <w:pPr>
              <w:spacing w:line="210" w:lineRule="exact"/>
              <w:rPr>
                <w:rFonts w:ascii="宋体" w:hAnsi="宋体"/>
                <w:sz w:val="19"/>
                <w:szCs w:val="21"/>
              </w:rPr>
            </w:pPr>
            <w:r>
              <w:rPr>
                <w:rFonts w:hint="eastAsia" w:ascii="宋体" w:hAnsi="宋体"/>
                <w:sz w:val="19"/>
                <w:szCs w:val="21"/>
              </w:rPr>
              <w:t>（实际完成成本-预计完成成本）/预计完成成本×100%</w:t>
            </w:r>
          </w:p>
        </w:tc>
        <w:tc>
          <w:tcPr>
            <w:tcW w:w="767" w:type="dxa"/>
            <w:gridSpan w:val="2"/>
            <w:vAlign w:val="center"/>
          </w:tcPr>
          <w:p>
            <w:pPr>
              <w:spacing w:line="210" w:lineRule="exact"/>
              <w:rPr>
                <w:rFonts w:ascii="宋体" w:hAnsi="宋体"/>
                <w:sz w:val="19"/>
                <w:szCs w:val="21"/>
              </w:rPr>
            </w:pPr>
            <w:r>
              <w:rPr>
                <w:rFonts w:hint="eastAsia" w:ascii="宋体" w:hAnsi="宋体"/>
                <w:sz w:val="19"/>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19" w:type="dxa"/>
            <w:vMerge w:val="continue"/>
            <w:textDirection w:val="tbRlV"/>
            <w:vAlign w:val="center"/>
          </w:tcPr>
          <w:p>
            <w:pPr>
              <w:spacing w:line="210" w:lineRule="exact"/>
              <w:ind w:left="113" w:right="113"/>
              <w:jc w:val="center"/>
              <w:rPr>
                <w:rFonts w:ascii="宋体" w:hAnsi="宋体"/>
                <w:sz w:val="19"/>
                <w:szCs w:val="21"/>
              </w:rPr>
            </w:pPr>
          </w:p>
        </w:tc>
        <w:tc>
          <w:tcPr>
            <w:tcW w:w="719" w:type="dxa"/>
            <w:vMerge w:val="restart"/>
            <w:textDirection w:val="tbRlV"/>
            <w:vAlign w:val="center"/>
          </w:tcPr>
          <w:p>
            <w:pPr>
              <w:spacing w:line="210" w:lineRule="exact"/>
              <w:ind w:left="113" w:right="113"/>
              <w:jc w:val="center"/>
              <w:rPr>
                <w:rFonts w:ascii="宋体" w:hAnsi="宋体"/>
                <w:sz w:val="19"/>
                <w:szCs w:val="21"/>
              </w:rPr>
            </w:pPr>
            <w:r>
              <w:rPr>
                <w:rFonts w:hint="eastAsia" w:ascii="宋体" w:hAnsi="宋体"/>
                <w:sz w:val="19"/>
                <w:szCs w:val="21"/>
              </w:rPr>
              <w:t>（50分）</w:t>
            </w:r>
          </w:p>
          <w:p>
            <w:pPr>
              <w:spacing w:line="210" w:lineRule="exact"/>
              <w:ind w:left="113" w:right="113"/>
              <w:jc w:val="center"/>
              <w:rPr>
                <w:rFonts w:ascii="宋体" w:hAnsi="宋体"/>
                <w:sz w:val="19"/>
                <w:szCs w:val="21"/>
              </w:rPr>
            </w:pPr>
            <w:r>
              <w:rPr>
                <w:rFonts w:hint="eastAsia" w:ascii="宋体" w:hAnsi="宋体"/>
                <w:sz w:val="19"/>
                <w:szCs w:val="21"/>
              </w:rPr>
              <w:t>项目效益</w:t>
            </w:r>
          </w:p>
        </w:tc>
        <w:tc>
          <w:tcPr>
            <w:tcW w:w="1439" w:type="dxa"/>
            <w:vAlign w:val="center"/>
          </w:tcPr>
          <w:p>
            <w:pPr>
              <w:spacing w:line="210" w:lineRule="exact"/>
              <w:jc w:val="center"/>
              <w:rPr>
                <w:rFonts w:ascii="宋体" w:hAnsi="宋体"/>
                <w:sz w:val="19"/>
                <w:szCs w:val="21"/>
              </w:rPr>
            </w:pPr>
            <w:r>
              <w:rPr>
                <w:rFonts w:hint="eastAsia" w:ascii="宋体" w:hAnsi="宋体"/>
                <w:sz w:val="19"/>
                <w:szCs w:val="21"/>
              </w:rPr>
              <w:t>经济效益</w:t>
            </w:r>
          </w:p>
          <w:p>
            <w:pPr>
              <w:spacing w:line="210" w:lineRule="exact"/>
              <w:jc w:val="center"/>
              <w:rPr>
                <w:rFonts w:ascii="宋体" w:hAnsi="宋体"/>
                <w:sz w:val="19"/>
                <w:szCs w:val="21"/>
              </w:rPr>
            </w:pPr>
            <w:r>
              <w:rPr>
                <w:rFonts w:hint="eastAsia" w:ascii="宋体" w:hAnsi="宋体"/>
                <w:sz w:val="19"/>
                <w:szCs w:val="21"/>
              </w:rPr>
              <w:t>（可选项）</w:t>
            </w:r>
          </w:p>
        </w:tc>
        <w:tc>
          <w:tcPr>
            <w:tcW w:w="484" w:type="dxa"/>
            <w:vMerge w:val="restart"/>
            <w:vAlign w:val="center"/>
          </w:tcPr>
          <w:p>
            <w:pPr>
              <w:spacing w:line="210" w:lineRule="exact"/>
              <w:jc w:val="center"/>
              <w:rPr>
                <w:rFonts w:ascii="宋体" w:hAnsi="宋体"/>
                <w:sz w:val="19"/>
                <w:szCs w:val="21"/>
              </w:rPr>
            </w:pPr>
            <w:r>
              <w:rPr>
                <w:rFonts w:hint="eastAsia" w:ascii="宋体" w:hAnsi="宋体"/>
                <w:sz w:val="19"/>
                <w:szCs w:val="21"/>
              </w:rPr>
              <w:t>40</w:t>
            </w:r>
          </w:p>
        </w:tc>
        <w:tc>
          <w:tcPr>
            <w:tcW w:w="4872" w:type="dxa"/>
            <w:vAlign w:val="center"/>
          </w:tcPr>
          <w:p>
            <w:pPr>
              <w:spacing w:line="210" w:lineRule="exact"/>
              <w:rPr>
                <w:rFonts w:ascii="宋体" w:hAnsi="宋体"/>
                <w:sz w:val="19"/>
                <w:szCs w:val="21"/>
              </w:rPr>
            </w:pPr>
            <w:r>
              <w:rPr>
                <w:rFonts w:hint="eastAsia" w:ascii="宋体" w:hAnsi="宋体"/>
                <w:sz w:val="19"/>
                <w:szCs w:val="21"/>
              </w:rPr>
              <w:t>适用于经济发展类项目。反映相关产出对经济社会发展带来的影响和效果，根据项目实际细化具体指标。重点考核投入产出率、回报率、增长率等指标</w:t>
            </w:r>
          </w:p>
        </w:tc>
        <w:tc>
          <w:tcPr>
            <w:tcW w:w="767" w:type="dxa"/>
            <w:gridSpan w:val="2"/>
            <w:vAlign w:val="center"/>
          </w:tcPr>
          <w:p>
            <w:pPr>
              <w:spacing w:line="210" w:lineRule="exact"/>
              <w:rPr>
                <w:rFonts w:ascii="宋体" w:hAnsi="宋体"/>
                <w:sz w:val="1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719" w:type="dxa"/>
            <w:vMerge w:val="continue"/>
            <w:textDirection w:val="tbRlV"/>
            <w:vAlign w:val="center"/>
          </w:tcPr>
          <w:p>
            <w:pPr>
              <w:spacing w:line="210" w:lineRule="exact"/>
              <w:ind w:left="113" w:right="113"/>
              <w:jc w:val="center"/>
              <w:rPr>
                <w:rFonts w:ascii="宋体" w:hAnsi="宋体"/>
                <w:sz w:val="19"/>
                <w:szCs w:val="21"/>
              </w:rPr>
            </w:pPr>
          </w:p>
        </w:tc>
        <w:tc>
          <w:tcPr>
            <w:tcW w:w="719" w:type="dxa"/>
            <w:vMerge w:val="continue"/>
            <w:textDirection w:val="tbRlV"/>
            <w:vAlign w:val="center"/>
          </w:tcPr>
          <w:p>
            <w:pPr>
              <w:spacing w:line="210" w:lineRule="exact"/>
              <w:ind w:left="113" w:right="113"/>
              <w:jc w:val="center"/>
              <w:rPr>
                <w:rFonts w:ascii="宋体" w:hAnsi="宋体"/>
                <w:sz w:val="19"/>
                <w:szCs w:val="21"/>
              </w:rPr>
            </w:pPr>
          </w:p>
        </w:tc>
        <w:tc>
          <w:tcPr>
            <w:tcW w:w="1439" w:type="dxa"/>
            <w:vAlign w:val="center"/>
          </w:tcPr>
          <w:p>
            <w:pPr>
              <w:spacing w:line="210" w:lineRule="exact"/>
              <w:jc w:val="center"/>
              <w:rPr>
                <w:rFonts w:ascii="宋体" w:hAnsi="宋体"/>
                <w:sz w:val="19"/>
                <w:szCs w:val="21"/>
              </w:rPr>
            </w:pPr>
            <w:r>
              <w:rPr>
                <w:rFonts w:hint="eastAsia" w:ascii="宋体" w:hAnsi="宋体"/>
                <w:sz w:val="19"/>
                <w:szCs w:val="21"/>
              </w:rPr>
              <w:t>社会效益</w:t>
            </w:r>
          </w:p>
          <w:p>
            <w:pPr>
              <w:spacing w:line="210" w:lineRule="exact"/>
              <w:jc w:val="center"/>
              <w:rPr>
                <w:rFonts w:ascii="宋体" w:hAnsi="宋体"/>
                <w:sz w:val="19"/>
                <w:szCs w:val="21"/>
              </w:rPr>
            </w:pPr>
            <w:r>
              <w:rPr>
                <w:rFonts w:hint="eastAsia" w:ascii="宋体" w:hAnsi="宋体"/>
                <w:sz w:val="19"/>
                <w:szCs w:val="21"/>
              </w:rPr>
              <w:t>（可选项）</w:t>
            </w:r>
          </w:p>
        </w:tc>
        <w:tc>
          <w:tcPr>
            <w:tcW w:w="484" w:type="dxa"/>
            <w:vMerge w:val="continue"/>
            <w:vAlign w:val="center"/>
          </w:tcPr>
          <w:p>
            <w:pPr>
              <w:spacing w:line="210" w:lineRule="exact"/>
              <w:jc w:val="center"/>
              <w:rPr>
                <w:rFonts w:ascii="宋体" w:hAnsi="宋体"/>
                <w:sz w:val="19"/>
                <w:szCs w:val="21"/>
              </w:rPr>
            </w:pPr>
          </w:p>
        </w:tc>
        <w:tc>
          <w:tcPr>
            <w:tcW w:w="4872" w:type="dxa"/>
            <w:vAlign w:val="center"/>
          </w:tcPr>
          <w:p>
            <w:pPr>
              <w:spacing w:line="210" w:lineRule="exact"/>
              <w:rPr>
                <w:rFonts w:ascii="宋体" w:hAnsi="宋体"/>
                <w:sz w:val="19"/>
                <w:szCs w:val="21"/>
              </w:rPr>
            </w:pPr>
            <w:r>
              <w:rPr>
                <w:rFonts w:hint="eastAsia" w:ascii="宋体" w:hAnsi="宋体"/>
                <w:sz w:val="19"/>
                <w:szCs w:val="21"/>
              </w:rPr>
              <w:t>反映相关产出对社会发展带来的影响和效果，根据项目实际细化具体指标。重点考核撬动率、贡献率、达标率、就业率等指标</w:t>
            </w:r>
          </w:p>
        </w:tc>
        <w:tc>
          <w:tcPr>
            <w:tcW w:w="767" w:type="dxa"/>
            <w:gridSpan w:val="2"/>
            <w:vAlign w:val="center"/>
          </w:tcPr>
          <w:p>
            <w:pPr>
              <w:spacing w:line="210" w:lineRule="exact"/>
              <w:rPr>
                <w:rFonts w:ascii="宋体" w:hAnsi="宋体"/>
                <w:sz w:val="19"/>
                <w:szCs w:val="21"/>
              </w:rPr>
            </w:pPr>
            <w:r>
              <w:rPr>
                <w:rFonts w:hint="eastAsia" w:ascii="宋体" w:hAnsi="宋体"/>
                <w:sz w:val="19"/>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19" w:type="dxa"/>
            <w:vMerge w:val="continue"/>
            <w:textDirection w:val="tbRlV"/>
            <w:vAlign w:val="center"/>
          </w:tcPr>
          <w:p>
            <w:pPr>
              <w:spacing w:line="210" w:lineRule="exact"/>
              <w:ind w:left="113" w:right="113"/>
              <w:jc w:val="center"/>
              <w:rPr>
                <w:rFonts w:ascii="宋体" w:hAnsi="宋体"/>
                <w:sz w:val="19"/>
                <w:szCs w:val="21"/>
              </w:rPr>
            </w:pPr>
          </w:p>
        </w:tc>
        <w:tc>
          <w:tcPr>
            <w:tcW w:w="719" w:type="dxa"/>
            <w:vMerge w:val="continue"/>
            <w:textDirection w:val="tbRlV"/>
            <w:vAlign w:val="center"/>
          </w:tcPr>
          <w:p>
            <w:pPr>
              <w:spacing w:line="210" w:lineRule="exact"/>
              <w:ind w:left="113" w:right="113"/>
              <w:jc w:val="center"/>
              <w:rPr>
                <w:rFonts w:ascii="宋体" w:hAnsi="宋体"/>
                <w:sz w:val="19"/>
                <w:szCs w:val="21"/>
              </w:rPr>
            </w:pPr>
          </w:p>
        </w:tc>
        <w:tc>
          <w:tcPr>
            <w:tcW w:w="1439" w:type="dxa"/>
            <w:vAlign w:val="center"/>
          </w:tcPr>
          <w:p>
            <w:pPr>
              <w:spacing w:line="210" w:lineRule="exact"/>
              <w:jc w:val="center"/>
              <w:rPr>
                <w:rFonts w:ascii="宋体" w:hAnsi="宋体"/>
                <w:sz w:val="19"/>
                <w:szCs w:val="21"/>
              </w:rPr>
            </w:pPr>
            <w:r>
              <w:rPr>
                <w:rFonts w:hint="eastAsia" w:ascii="宋体" w:hAnsi="宋体"/>
                <w:sz w:val="19"/>
                <w:szCs w:val="21"/>
              </w:rPr>
              <w:t>生态效益</w:t>
            </w:r>
          </w:p>
          <w:p>
            <w:pPr>
              <w:spacing w:line="210" w:lineRule="exact"/>
              <w:jc w:val="center"/>
              <w:rPr>
                <w:rFonts w:ascii="宋体" w:hAnsi="宋体"/>
                <w:sz w:val="19"/>
                <w:szCs w:val="21"/>
              </w:rPr>
            </w:pPr>
            <w:r>
              <w:rPr>
                <w:rFonts w:hint="eastAsia" w:ascii="宋体" w:hAnsi="宋体"/>
                <w:sz w:val="19"/>
                <w:szCs w:val="21"/>
              </w:rPr>
              <w:t>（可选项）</w:t>
            </w:r>
          </w:p>
        </w:tc>
        <w:tc>
          <w:tcPr>
            <w:tcW w:w="484" w:type="dxa"/>
            <w:vMerge w:val="continue"/>
            <w:vAlign w:val="center"/>
          </w:tcPr>
          <w:p>
            <w:pPr>
              <w:spacing w:line="210" w:lineRule="exact"/>
              <w:jc w:val="center"/>
              <w:rPr>
                <w:rFonts w:ascii="宋体" w:hAnsi="宋体"/>
                <w:sz w:val="19"/>
                <w:szCs w:val="21"/>
              </w:rPr>
            </w:pPr>
          </w:p>
        </w:tc>
        <w:tc>
          <w:tcPr>
            <w:tcW w:w="4872" w:type="dxa"/>
            <w:vAlign w:val="center"/>
          </w:tcPr>
          <w:p>
            <w:pPr>
              <w:spacing w:line="210" w:lineRule="exact"/>
              <w:rPr>
                <w:rFonts w:ascii="宋体" w:hAnsi="宋体"/>
                <w:sz w:val="19"/>
                <w:szCs w:val="21"/>
              </w:rPr>
            </w:pPr>
            <w:r>
              <w:rPr>
                <w:rFonts w:hint="eastAsia" w:ascii="宋体" w:hAnsi="宋体"/>
                <w:sz w:val="19"/>
                <w:szCs w:val="21"/>
              </w:rPr>
              <w:t>反映相关产出对自然环境带来的影响和效果，根据项目实际细化具体指标</w:t>
            </w:r>
          </w:p>
        </w:tc>
        <w:tc>
          <w:tcPr>
            <w:tcW w:w="767" w:type="dxa"/>
            <w:gridSpan w:val="2"/>
            <w:vAlign w:val="center"/>
          </w:tcPr>
          <w:p>
            <w:pPr>
              <w:spacing w:line="210" w:lineRule="exact"/>
              <w:rPr>
                <w:rFonts w:ascii="宋体" w:hAnsi="宋体"/>
                <w:sz w:val="1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719" w:type="dxa"/>
            <w:vMerge w:val="continue"/>
            <w:textDirection w:val="tbRlV"/>
            <w:vAlign w:val="center"/>
          </w:tcPr>
          <w:p>
            <w:pPr>
              <w:spacing w:line="210" w:lineRule="exact"/>
              <w:ind w:left="113" w:right="113"/>
              <w:jc w:val="center"/>
              <w:rPr>
                <w:rFonts w:ascii="宋体" w:hAnsi="宋体"/>
                <w:sz w:val="19"/>
                <w:szCs w:val="21"/>
              </w:rPr>
            </w:pPr>
          </w:p>
        </w:tc>
        <w:tc>
          <w:tcPr>
            <w:tcW w:w="719" w:type="dxa"/>
            <w:vMerge w:val="continue"/>
            <w:textDirection w:val="tbRlV"/>
            <w:vAlign w:val="center"/>
          </w:tcPr>
          <w:p>
            <w:pPr>
              <w:spacing w:line="210" w:lineRule="exact"/>
              <w:ind w:left="113" w:right="113"/>
              <w:jc w:val="center"/>
              <w:rPr>
                <w:rFonts w:ascii="宋体" w:hAnsi="宋体"/>
                <w:sz w:val="19"/>
                <w:szCs w:val="21"/>
              </w:rPr>
            </w:pPr>
          </w:p>
        </w:tc>
        <w:tc>
          <w:tcPr>
            <w:tcW w:w="1439" w:type="dxa"/>
            <w:vAlign w:val="center"/>
          </w:tcPr>
          <w:p>
            <w:pPr>
              <w:spacing w:line="210" w:lineRule="exact"/>
              <w:jc w:val="center"/>
              <w:rPr>
                <w:rFonts w:ascii="宋体" w:hAnsi="宋体"/>
                <w:sz w:val="19"/>
                <w:szCs w:val="21"/>
              </w:rPr>
            </w:pPr>
            <w:r>
              <w:rPr>
                <w:rFonts w:hint="eastAsia" w:ascii="宋体" w:hAnsi="宋体"/>
                <w:sz w:val="19"/>
                <w:szCs w:val="21"/>
              </w:rPr>
              <w:t>可持续效益（可选项）</w:t>
            </w:r>
          </w:p>
        </w:tc>
        <w:tc>
          <w:tcPr>
            <w:tcW w:w="484" w:type="dxa"/>
            <w:vMerge w:val="continue"/>
            <w:vAlign w:val="center"/>
          </w:tcPr>
          <w:p>
            <w:pPr>
              <w:spacing w:line="210" w:lineRule="exact"/>
              <w:jc w:val="center"/>
              <w:rPr>
                <w:rFonts w:ascii="宋体" w:hAnsi="宋体"/>
                <w:sz w:val="19"/>
                <w:szCs w:val="21"/>
              </w:rPr>
            </w:pPr>
          </w:p>
        </w:tc>
        <w:tc>
          <w:tcPr>
            <w:tcW w:w="4872" w:type="dxa"/>
            <w:vAlign w:val="center"/>
          </w:tcPr>
          <w:p>
            <w:pPr>
              <w:spacing w:line="210" w:lineRule="exact"/>
              <w:rPr>
                <w:rFonts w:ascii="宋体" w:hAnsi="宋体"/>
                <w:sz w:val="19"/>
                <w:szCs w:val="21"/>
              </w:rPr>
            </w:pPr>
            <w:r>
              <w:rPr>
                <w:rFonts w:hint="eastAsia" w:ascii="宋体" w:hAnsi="宋体"/>
                <w:sz w:val="19"/>
                <w:szCs w:val="21"/>
              </w:rPr>
              <w:t>反映相关产出带来影响的可持续期限，根据项目实际细化具体指标</w:t>
            </w:r>
          </w:p>
        </w:tc>
        <w:tc>
          <w:tcPr>
            <w:tcW w:w="767" w:type="dxa"/>
            <w:gridSpan w:val="2"/>
            <w:vAlign w:val="center"/>
          </w:tcPr>
          <w:p>
            <w:pPr>
              <w:spacing w:line="210" w:lineRule="exact"/>
              <w:rPr>
                <w:rFonts w:ascii="宋体" w:hAnsi="宋体"/>
                <w:sz w:val="1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19" w:type="dxa"/>
            <w:vMerge w:val="continue"/>
            <w:textDirection w:val="tbRlV"/>
            <w:vAlign w:val="center"/>
          </w:tcPr>
          <w:p>
            <w:pPr>
              <w:spacing w:line="210" w:lineRule="exact"/>
              <w:ind w:left="113" w:right="113"/>
              <w:jc w:val="center"/>
              <w:rPr>
                <w:rFonts w:ascii="宋体" w:hAnsi="宋体"/>
                <w:sz w:val="19"/>
                <w:szCs w:val="21"/>
              </w:rPr>
            </w:pPr>
          </w:p>
        </w:tc>
        <w:tc>
          <w:tcPr>
            <w:tcW w:w="719" w:type="dxa"/>
            <w:vMerge w:val="continue"/>
            <w:textDirection w:val="tbRlV"/>
            <w:vAlign w:val="center"/>
          </w:tcPr>
          <w:p>
            <w:pPr>
              <w:spacing w:line="210" w:lineRule="exact"/>
              <w:ind w:left="113" w:right="113"/>
              <w:jc w:val="center"/>
              <w:rPr>
                <w:rFonts w:ascii="宋体" w:hAnsi="宋体"/>
                <w:sz w:val="19"/>
                <w:szCs w:val="21"/>
              </w:rPr>
            </w:pPr>
          </w:p>
        </w:tc>
        <w:tc>
          <w:tcPr>
            <w:tcW w:w="1439" w:type="dxa"/>
            <w:vAlign w:val="center"/>
          </w:tcPr>
          <w:p>
            <w:pPr>
              <w:spacing w:line="210" w:lineRule="exact"/>
              <w:jc w:val="center"/>
              <w:rPr>
                <w:rFonts w:ascii="宋体" w:hAnsi="宋体"/>
                <w:sz w:val="19"/>
                <w:szCs w:val="21"/>
              </w:rPr>
            </w:pPr>
            <w:r>
              <w:rPr>
                <w:rFonts w:hint="eastAsia" w:ascii="宋体" w:hAnsi="宋体"/>
                <w:sz w:val="19"/>
                <w:szCs w:val="21"/>
              </w:rPr>
              <w:t>公平效率</w:t>
            </w:r>
          </w:p>
          <w:p>
            <w:pPr>
              <w:spacing w:line="210" w:lineRule="exact"/>
              <w:jc w:val="center"/>
              <w:rPr>
                <w:rFonts w:ascii="宋体" w:hAnsi="宋体"/>
                <w:sz w:val="19"/>
                <w:szCs w:val="21"/>
              </w:rPr>
            </w:pPr>
            <w:r>
              <w:rPr>
                <w:rFonts w:hint="eastAsia" w:ascii="宋体" w:hAnsi="宋体"/>
                <w:sz w:val="19"/>
                <w:szCs w:val="21"/>
              </w:rPr>
              <w:t>（可选项）</w:t>
            </w:r>
          </w:p>
        </w:tc>
        <w:tc>
          <w:tcPr>
            <w:tcW w:w="484" w:type="dxa"/>
            <w:vMerge w:val="continue"/>
            <w:vAlign w:val="center"/>
          </w:tcPr>
          <w:p>
            <w:pPr>
              <w:spacing w:line="210" w:lineRule="exact"/>
              <w:jc w:val="center"/>
              <w:rPr>
                <w:rFonts w:ascii="宋体" w:hAnsi="宋体"/>
                <w:sz w:val="19"/>
                <w:szCs w:val="21"/>
              </w:rPr>
            </w:pPr>
          </w:p>
        </w:tc>
        <w:tc>
          <w:tcPr>
            <w:tcW w:w="4872" w:type="dxa"/>
            <w:vAlign w:val="center"/>
          </w:tcPr>
          <w:p>
            <w:pPr>
              <w:spacing w:line="210" w:lineRule="exact"/>
              <w:rPr>
                <w:rFonts w:ascii="宋体" w:hAnsi="宋体"/>
                <w:sz w:val="19"/>
                <w:szCs w:val="21"/>
              </w:rPr>
            </w:pPr>
            <w:r>
              <w:rPr>
                <w:rFonts w:hint="eastAsia" w:ascii="宋体" w:hAnsi="宋体"/>
                <w:sz w:val="19"/>
                <w:szCs w:val="21"/>
              </w:rPr>
              <w:t>主要反映资金使用者是否获得公平竞争的机会，以及民生类项目中受益群体是否应覆盖全覆盖，覆盖率是衡量指标。重点考核覆盖率、知晓率等指标</w:t>
            </w:r>
          </w:p>
        </w:tc>
        <w:tc>
          <w:tcPr>
            <w:tcW w:w="767" w:type="dxa"/>
            <w:gridSpan w:val="2"/>
            <w:vAlign w:val="center"/>
          </w:tcPr>
          <w:p>
            <w:pPr>
              <w:spacing w:line="210" w:lineRule="exact"/>
              <w:rPr>
                <w:rFonts w:ascii="宋体" w:hAnsi="宋体"/>
                <w:sz w:val="1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19" w:type="dxa"/>
            <w:vMerge w:val="continue"/>
            <w:textDirection w:val="tbRlV"/>
            <w:vAlign w:val="center"/>
          </w:tcPr>
          <w:p>
            <w:pPr>
              <w:spacing w:line="210" w:lineRule="exact"/>
              <w:ind w:left="113" w:right="113"/>
              <w:jc w:val="center"/>
              <w:rPr>
                <w:rFonts w:ascii="宋体" w:hAnsi="宋体"/>
                <w:sz w:val="19"/>
                <w:szCs w:val="21"/>
              </w:rPr>
            </w:pPr>
          </w:p>
        </w:tc>
        <w:tc>
          <w:tcPr>
            <w:tcW w:w="719" w:type="dxa"/>
            <w:vMerge w:val="continue"/>
            <w:textDirection w:val="tbRlV"/>
            <w:vAlign w:val="center"/>
          </w:tcPr>
          <w:p>
            <w:pPr>
              <w:spacing w:line="210" w:lineRule="exact"/>
              <w:ind w:left="113" w:right="113"/>
              <w:jc w:val="center"/>
              <w:rPr>
                <w:rFonts w:ascii="宋体" w:hAnsi="宋体"/>
                <w:sz w:val="19"/>
                <w:szCs w:val="21"/>
              </w:rPr>
            </w:pPr>
          </w:p>
        </w:tc>
        <w:tc>
          <w:tcPr>
            <w:tcW w:w="1439" w:type="dxa"/>
            <w:vAlign w:val="center"/>
          </w:tcPr>
          <w:p>
            <w:pPr>
              <w:spacing w:line="210" w:lineRule="exact"/>
              <w:jc w:val="center"/>
              <w:rPr>
                <w:rFonts w:ascii="宋体" w:hAnsi="宋体"/>
                <w:sz w:val="19"/>
                <w:szCs w:val="21"/>
              </w:rPr>
            </w:pPr>
            <w:r>
              <w:rPr>
                <w:rFonts w:hint="eastAsia" w:ascii="宋体" w:hAnsi="宋体"/>
                <w:sz w:val="19"/>
                <w:szCs w:val="21"/>
              </w:rPr>
              <w:t>使用效率</w:t>
            </w:r>
          </w:p>
          <w:p>
            <w:pPr>
              <w:spacing w:line="210" w:lineRule="exact"/>
              <w:jc w:val="center"/>
              <w:rPr>
                <w:rFonts w:ascii="宋体" w:hAnsi="宋体"/>
                <w:sz w:val="19"/>
                <w:szCs w:val="21"/>
              </w:rPr>
            </w:pPr>
            <w:r>
              <w:rPr>
                <w:rFonts w:hint="eastAsia" w:ascii="宋体" w:hAnsi="宋体"/>
                <w:sz w:val="19"/>
                <w:szCs w:val="21"/>
              </w:rPr>
              <w:t>（可选项）</w:t>
            </w:r>
          </w:p>
        </w:tc>
        <w:tc>
          <w:tcPr>
            <w:tcW w:w="484" w:type="dxa"/>
            <w:vMerge w:val="continue"/>
            <w:vAlign w:val="center"/>
          </w:tcPr>
          <w:p>
            <w:pPr>
              <w:spacing w:line="210" w:lineRule="exact"/>
              <w:jc w:val="center"/>
              <w:rPr>
                <w:rFonts w:ascii="宋体" w:hAnsi="宋体"/>
                <w:sz w:val="19"/>
                <w:szCs w:val="21"/>
              </w:rPr>
            </w:pPr>
          </w:p>
        </w:tc>
        <w:tc>
          <w:tcPr>
            <w:tcW w:w="4872" w:type="dxa"/>
            <w:vAlign w:val="center"/>
          </w:tcPr>
          <w:p>
            <w:pPr>
              <w:spacing w:line="210" w:lineRule="exact"/>
              <w:rPr>
                <w:rFonts w:ascii="宋体" w:hAnsi="宋体"/>
                <w:sz w:val="19"/>
                <w:szCs w:val="21"/>
              </w:rPr>
            </w:pPr>
            <w:r>
              <w:rPr>
                <w:rFonts w:hint="eastAsia" w:ascii="宋体" w:hAnsi="宋体"/>
                <w:sz w:val="19"/>
                <w:szCs w:val="21"/>
              </w:rPr>
              <w:t>重点考核使用率等指标</w:t>
            </w:r>
          </w:p>
        </w:tc>
        <w:tc>
          <w:tcPr>
            <w:tcW w:w="767" w:type="dxa"/>
            <w:gridSpan w:val="2"/>
            <w:vAlign w:val="center"/>
          </w:tcPr>
          <w:p>
            <w:pPr>
              <w:spacing w:line="210" w:lineRule="exact"/>
              <w:rPr>
                <w:rFonts w:ascii="宋体" w:hAnsi="宋体"/>
                <w:sz w:val="19"/>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719" w:type="dxa"/>
            <w:vMerge w:val="continue"/>
            <w:textDirection w:val="tbRlV"/>
            <w:vAlign w:val="center"/>
          </w:tcPr>
          <w:p>
            <w:pPr>
              <w:spacing w:line="210" w:lineRule="exact"/>
              <w:ind w:left="113" w:right="113"/>
              <w:jc w:val="center"/>
              <w:rPr>
                <w:rFonts w:ascii="宋体" w:hAnsi="宋体"/>
                <w:sz w:val="19"/>
                <w:szCs w:val="21"/>
              </w:rPr>
            </w:pPr>
          </w:p>
        </w:tc>
        <w:tc>
          <w:tcPr>
            <w:tcW w:w="719" w:type="dxa"/>
            <w:vMerge w:val="continue"/>
            <w:textDirection w:val="tbRlV"/>
            <w:vAlign w:val="center"/>
          </w:tcPr>
          <w:p>
            <w:pPr>
              <w:spacing w:line="210" w:lineRule="exact"/>
              <w:ind w:left="113" w:right="113"/>
              <w:jc w:val="center"/>
              <w:rPr>
                <w:rFonts w:ascii="宋体" w:hAnsi="宋体"/>
                <w:sz w:val="19"/>
                <w:szCs w:val="21"/>
              </w:rPr>
            </w:pPr>
          </w:p>
        </w:tc>
        <w:tc>
          <w:tcPr>
            <w:tcW w:w="1439" w:type="dxa"/>
            <w:vAlign w:val="center"/>
          </w:tcPr>
          <w:p>
            <w:pPr>
              <w:spacing w:line="210" w:lineRule="exact"/>
              <w:ind w:left="-63" w:right="-92"/>
              <w:jc w:val="center"/>
              <w:rPr>
                <w:rFonts w:ascii="宋体" w:hAnsi="宋体"/>
                <w:sz w:val="19"/>
                <w:szCs w:val="21"/>
              </w:rPr>
            </w:pPr>
            <w:r>
              <w:rPr>
                <w:rFonts w:hint="eastAsia" w:ascii="宋体" w:hAnsi="宋体"/>
                <w:sz w:val="19"/>
                <w:szCs w:val="21"/>
              </w:rPr>
              <w:t>服务对象满意度</w:t>
            </w:r>
          </w:p>
        </w:tc>
        <w:tc>
          <w:tcPr>
            <w:tcW w:w="484" w:type="dxa"/>
            <w:vAlign w:val="center"/>
          </w:tcPr>
          <w:p>
            <w:pPr>
              <w:spacing w:line="210" w:lineRule="exact"/>
              <w:jc w:val="center"/>
              <w:rPr>
                <w:rFonts w:ascii="宋体" w:hAnsi="宋体"/>
                <w:sz w:val="19"/>
                <w:szCs w:val="21"/>
              </w:rPr>
            </w:pPr>
            <w:r>
              <w:rPr>
                <w:rFonts w:hint="eastAsia" w:ascii="宋体" w:hAnsi="宋体"/>
                <w:sz w:val="19"/>
                <w:szCs w:val="21"/>
              </w:rPr>
              <w:t>10</w:t>
            </w:r>
          </w:p>
        </w:tc>
        <w:tc>
          <w:tcPr>
            <w:tcW w:w="4883" w:type="dxa"/>
            <w:gridSpan w:val="2"/>
            <w:vAlign w:val="center"/>
          </w:tcPr>
          <w:p>
            <w:pPr>
              <w:spacing w:line="210" w:lineRule="exact"/>
              <w:rPr>
                <w:rFonts w:ascii="宋体" w:hAnsi="宋体"/>
                <w:sz w:val="19"/>
                <w:szCs w:val="21"/>
              </w:rPr>
            </w:pPr>
            <w:r>
              <w:rPr>
                <w:rFonts w:hint="eastAsia" w:ascii="宋体" w:hAnsi="宋体"/>
                <w:sz w:val="19"/>
                <w:szCs w:val="21"/>
              </w:rPr>
              <w:t>适用于民生类项目。满意率反映服务对象或项目受益人对相关产出及其影响的认可程度，根据项目实际细化具体指标。重点考核满意率等指标</w:t>
            </w:r>
          </w:p>
        </w:tc>
        <w:tc>
          <w:tcPr>
            <w:tcW w:w="756" w:type="dxa"/>
            <w:vAlign w:val="center"/>
          </w:tcPr>
          <w:p>
            <w:pPr>
              <w:spacing w:line="210" w:lineRule="exact"/>
              <w:rPr>
                <w:rFonts w:ascii="宋体" w:hAnsi="宋体"/>
                <w:sz w:val="19"/>
                <w:szCs w:val="21"/>
              </w:rPr>
            </w:pPr>
            <w:r>
              <w:rPr>
                <w:rFonts w:hint="eastAsia" w:ascii="宋体" w:hAnsi="宋体"/>
                <w:sz w:val="19"/>
                <w:szCs w:val="21"/>
              </w:rPr>
              <w:t>8.5</w:t>
            </w:r>
          </w:p>
        </w:tc>
      </w:tr>
    </w:tbl>
    <w:p>
      <w:pPr>
        <w:ind w:firstLine="640" w:firstLineChars="200"/>
        <w:rPr>
          <w:rFonts w:ascii="仿宋" w:hAnsi="仿宋" w:eastAsia="仿宋"/>
        </w:rPr>
      </w:pPr>
      <w:r>
        <w:rPr>
          <w:rFonts w:hint="eastAsia" w:ascii="仿宋" w:hAnsi="仿宋" w:eastAsia="仿宋"/>
        </w:rPr>
        <w:t>附件：表1：收入支出决算总表</w:t>
      </w:r>
    </w:p>
    <w:p>
      <w:pPr>
        <w:ind w:firstLine="1590" w:firstLineChars="497"/>
        <w:rPr>
          <w:rFonts w:ascii="仿宋" w:hAnsi="仿宋" w:eastAsia="仿宋"/>
        </w:rPr>
      </w:pPr>
      <w:r>
        <w:rPr>
          <w:rFonts w:hint="eastAsia" w:ascii="仿宋" w:hAnsi="仿宋" w:eastAsia="仿宋"/>
        </w:rPr>
        <w:t>表1-1：收入总表</w:t>
      </w:r>
    </w:p>
    <w:p>
      <w:pPr>
        <w:ind w:firstLine="1600" w:firstLineChars="500"/>
        <w:rPr>
          <w:rFonts w:ascii="仿宋" w:hAnsi="仿宋" w:eastAsia="仿宋"/>
        </w:rPr>
      </w:pPr>
      <w:r>
        <w:rPr>
          <w:rFonts w:hint="eastAsia" w:ascii="仿宋" w:hAnsi="仿宋" w:eastAsia="仿宋"/>
        </w:rPr>
        <w:t>表1-2：支出总表</w:t>
      </w:r>
    </w:p>
    <w:p>
      <w:pPr>
        <w:ind w:firstLine="1600" w:firstLineChars="500"/>
        <w:rPr>
          <w:rFonts w:ascii="仿宋" w:hAnsi="仿宋" w:eastAsia="仿宋"/>
        </w:rPr>
      </w:pPr>
      <w:r>
        <w:rPr>
          <w:rFonts w:hint="eastAsia" w:ascii="仿宋" w:hAnsi="仿宋" w:eastAsia="仿宋"/>
        </w:rPr>
        <w:t>表2：财政拨款收入支出决算总表</w:t>
      </w:r>
    </w:p>
    <w:p>
      <w:pPr>
        <w:ind w:firstLine="1600" w:firstLineChars="500"/>
        <w:rPr>
          <w:rFonts w:ascii="仿宋" w:hAnsi="仿宋" w:eastAsia="仿宋"/>
        </w:rPr>
      </w:pPr>
      <w:r>
        <w:rPr>
          <w:rFonts w:hint="eastAsia" w:ascii="仿宋" w:hAnsi="仿宋" w:eastAsia="仿宋"/>
        </w:rPr>
        <w:t>表3：财政拨款支出决算明细表</w:t>
      </w:r>
    </w:p>
    <w:p>
      <w:pPr>
        <w:ind w:firstLine="1600" w:firstLineChars="500"/>
        <w:rPr>
          <w:rFonts w:ascii="仿宋" w:hAnsi="仿宋" w:eastAsia="仿宋"/>
        </w:rPr>
      </w:pPr>
      <w:r>
        <w:rPr>
          <w:rFonts w:hint="eastAsia" w:ascii="仿宋" w:hAnsi="仿宋" w:eastAsia="仿宋"/>
        </w:rPr>
        <w:t>表4：一般公共预算财政拨款支出决算表</w:t>
      </w:r>
    </w:p>
    <w:p>
      <w:pPr>
        <w:ind w:firstLine="1600" w:firstLineChars="500"/>
        <w:rPr>
          <w:rFonts w:ascii="仿宋" w:hAnsi="仿宋" w:eastAsia="仿宋"/>
        </w:rPr>
      </w:pPr>
      <w:r>
        <w:rPr>
          <w:rFonts w:hint="eastAsia" w:ascii="仿宋" w:hAnsi="仿宋" w:eastAsia="仿宋"/>
        </w:rPr>
        <w:t>表4-1：一般公共预算财政拨款支出决算明细表</w:t>
      </w:r>
    </w:p>
    <w:p>
      <w:pPr>
        <w:ind w:firstLine="1600" w:firstLineChars="500"/>
        <w:rPr>
          <w:rFonts w:ascii="仿宋" w:hAnsi="仿宋" w:eastAsia="仿宋"/>
        </w:rPr>
      </w:pPr>
      <w:r>
        <w:rPr>
          <w:rFonts w:hint="eastAsia" w:ascii="仿宋" w:hAnsi="仿宋" w:eastAsia="仿宋"/>
        </w:rPr>
        <w:t>表4-2：一般公共预算财政拨款基本支出决算表</w:t>
      </w:r>
    </w:p>
    <w:p>
      <w:pPr>
        <w:ind w:firstLine="1600" w:firstLineChars="500"/>
        <w:rPr>
          <w:rFonts w:ascii="仿宋" w:hAnsi="仿宋" w:eastAsia="仿宋"/>
        </w:rPr>
      </w:pPr>
      <w:r>
        <w:rPr>
          <w:rFonts w:hint="eastAsia" w:ascii="仿宋" w:hAnsi="仿宋" w:eastAsia="仿宋"/>
        </w:rPr>
        <w:t>表4-3：一般公共预算财政拨款项目支出决算表</w:t>
      </w:r>
    </w:p>
    <w:p>
      <w:pPr>
        <w:ind w:firstLine="1600" w:firstLineChars="500"/>
        <w:rPr>
          <w:rFonts w:ascii="仿宋" w:hAnsi="仿宋" w:eastAsia="仿宋"/>
        </w:rPr>
      </w:pPr>
      <w:r>
        <w:rPr>
          <w:rFonts w:hint="eastAsia" w:ascii="仿宋" w:hAnsi="仿宋" w:eastAsia="仿宋"/>
        </w:rPr>
        <w:t>表4-4：一般公共预算财政拨款“三公”经费支出决算表</w:t>
      </w:r>
    </w:p>
    <w:p>
      <w:pPr>
        <w:ind w:firstLine="1600" w:firstLineChars="500"/>
        <w:rPr>
          <w:rFonts w:ascii="仿宋" w:hAnsi="仿宋" w:eastAsia="仿宋"/>
        </w:rPr>
      </w:pPr>
      <w:r>
        <w:rPr>
          <w:rFonts w:hint="eastAsia" w:ascii="仿宋" w:hAnsi="仿宋" w:eastAsia="仿宋"/>
        </w:rPr>
        <w:t>表5：政府性基金预算财政拨款收入支出决算表</w:t>
      </w:r>
    </w:p>
    <w:p>
      <w:pPr>
        <w:ind w:firstLine="1600" w:firstLineChars="500"/>
        <w:rPr>
          <w:rFonts w:ascii="仿宋" w:hAnsi="仿宋" w:eastAsia="仿宋"/>
        </w:rPr>
      </w:pPr>
      <w:r>
        <w:rPr>
          <w:rFonts w:hint="eastAsia" w:ascii="仿宋" w:hAnsi="仿宋" w:eastAsia="仿宋"/>
        </w:rPr>
        <w:t>表5-1：政府性基金预算财政拨款“三公”经费支出决算表</w:t>
      </w:r>
    </w:p>
    <w:p>
      <w:pPr>
        <w:ind w:firstLine="1596" w:firstLineChars="499"/>
        <w:rPr>
          <w:rFonts w:ascii="仿宋" w:hAnsi="仿宋" w:eastAsia="仿宋"/>
        </w:rPr>
      </w:pPr>
      <w:r>
        <w:rPr>
          <w:rFonts w:hint="eastAsia" w:ascii="仿宋" w:hAnsi="仿宋" w:eastAsia="仿宋"/>
        </w:rPr>
        <w:t>表6：国有资本经营预算支出决算表</w:t>
      </w:r>
    </w:p>
    <w:p>
      <w:pPr>
        <w:rPr>
          <w:rFonts w:ascii="仿宋_GB2312"/>
          <w:color w:val="000000"/>
        </w:rPr>
      </w:pPr>
    </w:p>
    <w:p>
      <w:pPr>
        <w:autoSpaceDE w:val="0"/>
        <w:autoSpaceDN w:val="0"/>
        <w:adjustRightInd w:val="0"/>
        <w:spacing w:line="600" w:lineRule="exact"/>
        <w:ind w:firstLine="640" w:firstLineChars="200"/>
        <w:jc w:val="left"/>
        <w:rPr>
          <w:rFonts w:ascii="黑体" w:eastAsia="黑体"/>
          <w:color w:val="000000"/>
        </w:rPr>
      </w:pPr>
      <w:r>
        <w:rPr>
          <w:rFonts w:hint="eastAsia" w:ascii="黑体" w:eastAsia="黑体"/>
          <w:color w:val="000000"/>
        </w:rPr>
        <w:t>十一、名词解释</w:t>
      </w:r>
    </w:p>
    <w:p>
      <w:pPr>
        <w:pStyle w:val="11"/>
        <w:spacing w:line="560" w:lineRule="exact"/>
        <w:ind w:firstLine="640" w:firstLineChars="200"/>
        <w:rPr>
          <w:rFonts w:hAnsi="仿宋"/>
          <w:sz w:val="32"/>
          <w:szCs w:val="32"/>
        </w:rPr>
      </w:pPr>
      <w:r>
        <w:rPr>
          <w:rFonts w:hint="eastAsia" w:hAnsi="仿宋"/>
          <w:sz w:val="32"/>
          <w:szCs w:val="32"/>
        </w:rPr>
        <w:t>1.财政拨款收入：指单位从同级财政部门取得的财政预算资金。</w:t>
      </w:r>
    </w:p>
    <w:p>
      <w:pPr>
        <w:pStyle w:val="11"/>
        <w:spacing w:line="560" w:lineRule="exact"/>
        <w:ind w:firstLine="640" w:firstLineChars="200"/>
        <w:rPr>
          <w:rFonts w:hAnsi="仿宋"/>
          <w:sz w:val="32"/>
          <w:szCs w:val="32"/>
        </w:rPr>
      </w:pPr>
      <w:r>
        <w:rPr>
          <w:rFonts w:hint="eastAsia" w:hAnsi="仿宋"/>
          <w:sz w:val="32"/>
          <w:szCs w:val="32"/>
        </w:rPr>
        <w:t xml:space="preserve">2.其他收入：指单位取得的除上述收入以外的各项收入。主要是…（收入类型）等。 </w:t>
      </w:r>
    </w:p>
    <w:p>
      <w:pPr>
        <w:pStyle w:val="11"/>
        <w:spacing w:line="560" w:lineRule="exact"/>
        <w:ind w:firstLine="640" w:firstLineChars="200"/>
        <w:rPr>
          <w:rFonts w:hAnsi="仿宋"/>
          <w:sz w:val="32"/>
          <w:szCs w:val="32"/>
        </w:rPr>
      </w:pPr>
      <w:r>
        <w:rPr>
          <w:rFonts w:hint="eastAsia" w:hAnsi="仿宋"/>
          <w:sz w:val="32"/>
          <w:szCs w:val="32"/>
        </w:rPr>
        <w:t xml:space="preserve">3.结转和结余：指以前年度尚未完成、结转到本年按有关规定继续使用的资金。 </w:t>
      </w:r>
    </w:p>
    <w:p>
      <w:pPr>
        <w:pStyle w:val="11"/>
        <w:spacing w:line="560" w:lineRule="exact"/>
        <w:ind w:firstLine="640" w:firstLineChars="200"/>
        <w:rPr>
          <w:rFonts w:hAnsi="仿宋"/>
          <w:sz w:val="32"/>
          <w:szCs w:val="32"/>
        </w:rPr>
      </w:pPr>
      <w:r>
        <w:rPr>
          <w:rFonts w:hint="eastAsia" w:hAnsi="仿宋"/>
          <w:sz w:val="32"/>
          <w:szCs w:val="32"/>
        </w:rPr>
        <w:t>4.年末结转和结余：指单位按有关规定结转到下年或以后年度继续使用的资金。</w:t>
      </w:r>
    </w:p>
    <w:p>
      <w:pPr>
        <w:spacing w:line="600" w:lineRule="exact"/>
        <w:ind w:firstLine="640" w:firstLineChars="200"/>
        <w:rPr>
          <w:rStyle w:val="9"/>
          <w:rFonts w:ascii="仿宋" w:hAnsi="仿宋" w:eastAsia="仿宋"/>
          <w:b w:val="0"/>
          <w:color w:val="000000" w:themeColor="text1"/>
        </w:rPr>
      </w:pPr>
      <w:r>
        <w:rPr>
          <w:rStyle w:val="9"/>
          <w:rFonts w:hint="eastAsia" w:ascii="仿宋" w:hAnsi="仿宋" w:eastAsia="仿宋"/>
          <w:b w:val="0"/>
          <w:color w:val="000000" w:themeColor="text1"/>
        </w:rPr>
        <w:t>5.一般公共服务（类）发展与改革事务（款）行政运行（项）: 指行政单位（包括实行公务员管理的事业单位）的基本支出。</w:t>
      </w:r>
    </w:p>
    <w:p>
      <w:pPr>
        <w:spacing w:line="600" w:lineRule="exact"/>
        <w:ind w:firstLine="640" w:firstLineChars="200"/>
        <w:rPr>
          <w:rFonts w:ascii="仿宋" w:hAnsi="仿宋" w:eastAsia="仿宋"/>
          <w:color w:val="000000" w:themeColor="text1"/>
        </w:rPr>
      </w:pPr>
      <w:r>
        <w:rPr>
          <w:rStyle w:val="9"/>
          <w:rFonts w:hint="eastAsia" w:ascii="仿宋" w:hAnsi="仿宋" w:eastAsia="仿宋"/>
          <w:b w:val="0"/>
          <w:color w:val="000000" w:themeColor="text1"/>
        </w:rPr>
        <w:t>6.一般公共服务（类）发展与改革事务</w:t>
      </w:r>
      <w:r>
        <w:rPr>
          <w:rStyle w:val="9"/>
          <w:rFonts w:ascii="仿宋" w:hAnsi="仿宋" w:eastAsia="仿宋"/>
          <w:b w:val="0"/>
          <w:color w:val="000000" w:themeColor="text1"/>
        </w:rPr>
        <w:t>（款）</w:t>
      </w:r>
      <w:r>
        <w:rPr>
          <w:rStyle w:val="9"/>
          <w:rFonts w:hint="eastAsia" w:ascii="仿宋" w:hAnsi="仿宋" w:eastAsia="仿宋"/>
          <w:b w:val="0"/>
          <w:color w:val="000000" w:themeColor="text1"/>
        </w:rPr>
        <w:t>一般行政管理事务</w:t>
      </w:r>
      <w:r>
        <w:rPr>
          <w:rStyle w:val="9"/>
          <w:rFonts w:ascii="仿宋" w:hAnsi="仿宋" w:eastAsia="仿宋"/>
          <w:b w:val="0"/>
          <w:color w:val="000000" w:themeColor="text1"/>
        </w:rPr>
        <w:t>（项）</w:t>
      </w:r>
      <w:r>
        <w:rPr>
          <w:rStyle w:val="9"/>
          <w:rFonts w:hint="eastAsia" w:ascii="仿宋" w:hAnsi="仿宋" w:eastAsia="仿宋"/>
          <w:b w:val="0"/>
          <w:color w:val="000000" w:themeColor="text1"/>
        </w:rPr>
        <w:t>：</w:t>
      </w:r>
      <w:r>
        <w:rPr>
          <w:rFonts w:hint="eastAsia" w:ascii="仿宋" w:hAnsi="仿宋" w:eastAsia="仿宋"/>
          <w:color w:val="000000" w:themeColor="text1"/>
        </w:rPr>
        <w:t>指行政单位</w:t>
      </w:r>
      <w:r>
        <w:rPr>
          <w:rStyle w:val="9"/>
          <w:rFonts w:hint="eastAsia" w:ascii="仿宋" w:hAnsi="仿宋" w:eastAsia="仿宋"/>
          <w:b w:val="0"/>
          <w:color w:val="000000" w:themeColor="text1"/>
        </w:rPr>
        <w:t>（包括实行公务员管理的事业单位）未单独设置项级科目的其他项目支出</w:t>
      </w:r>
      <w:r>
        <w:rPr>
          <w:rFonts w:hint="eastAsia" w:ascii="仿宋" w:hAnsi="仿宋" w:eastAsia="仿宋"/>
          <w:color w:val="000000" w:themeColor="text1"/>
        </w:rPr>
        <w:t>。</w:t>
      </w:r>
    </w:p>
    <w:p>
      <w:pPr>
        <w:spacing w:line="600" w:lineRule="exact"/>
        <w:ind w:firstLine="640" w:firstLineChars="200"/>
        <w:rPr>
          <w:rFonts w:ascii="仿宋" w:hAnsi="仿宋" w:eastAsia="仿宋"/>
          <w:color w:val="000000" w:themeColor="text1"/>
        </w:rPr>
      </w:pPr>
      <w:r>
        <w:rPr>
          <w:rFonts w:hint="eastAsia" w:ascii="仿宋" w:hAnsi="仿宋" w:eastAsia="仿宋"/>
          <w:color w:val="000000" w:themeColor="text1"/>
        </w:rPr>
        <w:t>7.</w:t>
      </w:r>
      <w:r>
        <w:rPr>
          <w:rStyle w:val="9"/>
          <w:rFonts w:hint="eastAsia" w:ascii="仿宋" w:hAnsi="仿宋" w:eastAsia="仿宋"/>
          <w:b w:val="0"/>
          <w:color w:val="000000" w:themeColor="text1"/>
        </w:rPr>
        <w:t>一般公共服务（类）发展与改革事务</w:t>
      </w:r>
      <w:r>
        <w:rPr>
          <w:rStyle w:val="9"/>
          <w:rFonts w:ascii="仿宋" w:hAnsi="仿宋" w:eastAsia="仿宋"/>
          <w:b w:val="0"/>
          <w:color w:val="000000" w:themeColor="text1"/>
        </w:rPr>
        <w:t>（款）</w:t>
      </w:r>
      <w:r>
        <w:rPr>
          <w:rStyle w:val="9"/>
          <w:rFonts w:hint="eastAsia" w:ascii="仿宋" w:hAnsi="仿宋" w:eastAsia="仿宋"/>
          <w:b w:val="0"/>
          <w:color w:val="000000" w:themeColor="text1"/>
        </w:rPr>
        <w:t>物价管理</w:t>
      </w:r>
      <w:r>
        <w:rPr>
          <w:rStyle w:val="9"/>
          <w:rFonts w:ascii="仿宋" w:hAnsi="仿宋" w:eastAsia="仿宋"/>
          <w:b w:val="0"/>
          <w:color w:val="000000" w:themeColor="text1"/>
        </w:rPr>
        <w:t>（项</w:t>
      </w:r>
      <w:r>
        <w:rPr>
          <w:rStyle w:val="9"/>
          <w:rFonts w:hint="eastAsia" w:ascii="仿宋" w:hAnsi="仿宋" w:eastAsia="仿宋"/>
          <w:b w:val="0"/>
          <w:color w:val="000000" w:themeColor="text1"/>
        </w:rPr>
        <w:t>）：</w:t>
      </w:r>
      <w:r>
        <w:rPr>
          <w:rFonts w:hint="eastAsia" w:ascii="仿宋" w:hAnsi="仿宋" w:eastAsia="仿宋"/>
          <w:color w:val="000000" w:themeColor="text1"/>
        </w:rPr>
        <w:t>指物价管理方面的支出。</w:t>
      </w:r>
    </w:p>
    <w:p>
      <w:pPr>
        <w:spacing w:line="600" w:lineRule="exact"/>
        <w:ind w:firstLine="640" w:firstLineChars="200"/>
        <w:rPr>
          <w:rFonts w:ascii="仿宋" w:hAnsi="仿宋" w:eastAsia="仿宋"/>
          <w:color w:val="000000" w:themeColor="text1"/>
        </w:rPr>
      </w:pPr>
      <w:r>
        <w:rPr>
          <w:rFonts w:hint="eastAsia" w:ascii="仿宋" w:hAnsi="仿宋" w:eastAsia="仿宋"/>
          <w:color w:val="000000" w:themeColor="text1"/>
        </w:rPr>
        <w:t>8.</w:t>
      </w:r>
      <w:r>
        <w:rPr>
          <w:rStyle w:val="9"/>
          <w:rFonts w:hint="eastAsia" w:ascii="仿宋" w:hAnsi="仿宋" w:eastAsia="仿宋"/>
          <w:b w:val="0"/>
          <w:color w:val="000000" w:themeColor="text1"/>
        </w:rPr>
        <w:t>一般公共服务（类）发展与改革事务</w:t>
      </w:r>
      <w:r>
        <w:rPr>
          <w:rStyle w:val="9"/>
          <w:rFonts w:ascii="仿宋" w:hAnsi="仿宋" w:eastAsia="仿宋"/>
          <w:b w:val="0"/>
          <w:color w:val="000000" w:themeColor="text1"/>
        </w:rPr>
        <w:t>（款）</w:t>
      </w:r>
      <w:r>
        <w:rPr>
          <w:rStyle w:val="9"/>
          <w:rFonts w:hint="eastAsia" w:ascii="仿宋" w:hAnsi="仿宋" w:eastAsia="仿宋"/>
          <w:b w:val="0"/>
          <w:color w:val="000000" w:themeColor="text1"/>
        </w:rPr>
        <w:t>事业运行</w:t>
      </w:r>
      <w:r>
        <w:rPr>
          <w:rStyle w:val="9"/>
          <w:rFonts w:ascii="仿宋" w:hAnsi="仿宋" w:eastAsia="仿宋"/>
          <w:b w:val="0"/>
          <w:color w:val="000000" w:themeColor="text1"/>
        </w:rPr>
        <w:t>（项）</w:t>
      </w:r>
      <w:r>
        <w:rPr>
          <w:rStyle w:val="9"/>
          <w:rFonts w:hint="eastAsia" w:ascii="仿宋" w:hAnsi="仿宋" w:eastAsia="仿宋"/>
          <w:b w:val="0"/>
          <w:color w:val="000000" w:themeColor="text1"/>
        </w:rPr>
        <w:t>：</w:t>
      </w:r>
      <w:r>
        <w:rPr>
          <w:rFonts w:hint="eastAsia" w:ascii="仿宋" w:hAnsi="仿宋" w:eastAsia="仿宋"/>
          <w:color w:val="000000" w:themeColor="text1"/>
        </w:rPr>
        <w:t>指事业单位的基本支出，不包括行政单位</w:t>
      </w:r>
      <w:r>
        <w:rPr>
          <w:rStyle w:val="9"/>
          <w:rFonts w:hint="eastAsia" w:ascii="仿宋" w:hAnsi="仿宋" w:eastAsia="仿宋"/>
          <w:b w:val="0"/>
          <w:color w:val="000000" w:themeColor="text1"/>
        </w:rPr>
        <w:t>（包括实行公务员管理的事业单位）后勤服务中心、医务室等附属事业单位</w:t>
      </w:r>
      <w:r>
        <w:rPr>
          <w:rFonts w:hint="eastAsia" w:ascii="仿宋" w:hAnsi="仿宋" w:eastAsia="仿宋"/>
          <w:color w:val="000000" w:themeColor="text1"/>
        </w:rPr>
        <w:t>。</w:t>
      </w:r>
    </w:p>
    <w:p>
      <w:pPr>
        <w:spacing w:line="600" w:lineRule="exact"/>
        <w:ind w:firstLine="640" w:firstLineChars="200"/>
        <w:rPr>
          <w:rFonts w:ascii="仿宋" w:hAnsi="仿宋" w:eastAsia="仿宋"/>
          <w:color w:val="000000" w:themeColor="text1"/>
        </w:rPr>
      </w:pPr>
      <w:r>
        <w:rPr>
          <w:rFonts w:hint="eastAsia" w:ascii="仿宋" w:hAnsi="仿宋" w:eastAsia="仿宋"/>
          <w:color w:val="000000" w:themeColor="text1"/>
        </w:rPr>
        <w:t>9.</w:t>
      </w:r>
      <w:r>
        <w:rPr>
          <w:rStyle w:val="9"/>
          <w:rFonts w:hint="eastAsia" w:ascii="仿宋" w:hAnsi="仿宋" w:eastAsia="仿宋"/>
          <w:b w:val="0"/>
          <w:color w:val="000000" w:themeColor="text1"/>
        </w:rPr>
        <w:t>一般公共服务（类）发展与改革事务</w:t>
      </w:r>
      <w:r>
        <w:rPr>
          <w:rStyle w:val="9"/>
          <w:rFonts w:ascii="仿宋" w:hAnsi="仿宋" w:eastAsia="仿宋"/>
          <w:b w:val="0"/>
          <w:color w:val="000000" w:themeColor="text1"/>
        </w:rPr>
        <w:t>（款）</w:t>
      </w:r>
      <w:r>
        <w:rPr>
          <w:rStyle w:val="9"/>
          <w:rFonts w:hint="eastAsia" w:ascii="仿宋" w:hAnsi="仿宋" w:eastAsia="仿宋"/>
          <w:b w:val="0"/>
          <w:color w:val="000000" w:themeColor="text1"/>
        </w:rPr>
        <w:t>其他发展与改革事务</w:t>
      </w:r>
      <w:r>
        <w:rPr>
          <w:rStyle w:val="9"/>
          <w:rFonts w:ascii="仿宋" w:hAnsi="仿宋" w:eastAsia="仿宋"/>
          <w:b w:val="0"/>
          <w:color w:val="000000" w:themeColor="text1"/>
        </w:rPr>
        <w:t>（项）</w:t>
      </w:r>
      <w:r>
        <w:rPr>
          <w:rStyle w:val="9"/>
          <w:rFonts w:hint="eastAsia" w:ascii="仿宋" w:hAnsi="仿宋" w:eastAsia="仿宋"/>
          <w:b w:val="0"/>
          <w:color w:val="000000" w:themeColor="text1"/>
        </w:rPr>
        <w:t>：</w:t>
      </w:r>
      <w:r>
        <w:rPr>
          <w:rFonts w:hint="eastAsia" w:ascii="仿宋" w:hAnsi="仿宋" w:eastAsia="仿宋"/>
          <w:color w:val="000000" w:themeColor="text1"/>
        </w:rPr>
        <w:t>指除01-50项以外的其他发展和改革事务支出。</w:t>
      </w:r>
    </w:p>
    <w:p>
      <w:pPr>
        <w:spacing w:line="600" w:lineRule="exact"/>
        <w:ind w:firstLine="640" w:firstLineChars="200"/>
        <w:rPr>
          <w:rFonts w:ascii="仿宋" w:hAnsi="仿宋" w:eastAsia="仿宋"/>
          <w:color w:val="000000" w:themeColor="text1"/>
        </w:rPr>
      </w:pPr>
      <w:r>
        <w:rPr>
          <w:rFonts w:hint="eastAsia" w:ascii="仿宋" w:hAnsi="仿宋" w:eastAsia="仿宋"/>
          <w:color w:val="000000" w:themeColor="text1"/>
        </w:rPr>
        <w:t>10.</w:t>
      </w:r>
      <w:r>
        <w:rPr>
          <w:rStyle w:val="9"/>
          <w:rFonts w:hint="eastAsia" w:ascii="仿宋" w:hAnsi="仿宋" w:eastAsia="仿宋"/>
          <w:b w:val="0"/>
          <w:color w:val="000000" w:themeColor="text1"/>
        </w:rPr>
        <w:t>一般公共服务（类）其他共产党事务</w:t>
      </w:r>
      <w:r>
        <w:rPr>
          <w:rStyle w:val="9"/>
          <w:rFonts w:ascii="仿宋" w:hAnsi="仿宋" w:eastAsia="仿宋"/>
          <w:b w:val="0"/>
          <w:color w:val="000000" w:themeColor="text1"/>
        </w:rPr>
        <w:t>（款）</w:t>
      </w:r>
      <w:r>
        <w:rPr>
          <w:rStyle w:val="9"/>
          <w:rFonts w:hint="eastAsia" w:ascii="仿宋" w:hAnsi="仿宋" w:eastAsia="仿宋"/>
          <w:b w:val="0"/>
          <w:color w:val="000000" w:themeColor="text1"/>
        </w:rPr>
        <w:t>其其他共产党事务</w:t>
      </w:r>
      <w:r>
        <w:rPr>
          <w:rStyle w:val="9"/>
          <w:rFonts w:ascii="仿宋" w:hAnsi="仿宋" w:eastAsia="仿宋"/>
          <w:b w:val="0"/>
          <w:color w:val="000000" w:themeColor="text1"/>
        </w:rPr>
        <w:t>（项）</w:t>
      </w:r>
      <w:r>
        <w:rPr>
          <w:rStyle w:val="9"/>
          <w:rFonts w:hint="eastAsia" w:ascii="仿宋" w:hAnsi="仿宋" w:eastAsia="仿宋"/>
          <w:b w:val="0"/>
          <w:color w:val="000000" w:themeColor="text1"/>
        </w:rPr>
        <w:t>：</w:t>
      </w:r>
      <w:r>
        <w:rPr>
          <w:rFonts w:hint="eastAsia" w:ascii="仿宋" w:hAnsi="仿宋" w:eastAsia="仿宋"/>
          <w:color w:val="000000" w:themeColor="text1"/>
        </w:rPr>
        <w:t>指除行政运行、一般行政管理事务、机关服务、事业运行以外其他用于中国共产党事务的支出。</w:t>
      </w:r>
    </w:p>
    <w:p>
      <w:pPr>
        <w:spacing w:line="600" w:lineRule="exact"/>
        <w:ind w:firstLine="640" w:firstLineChars="200"/>
        <w:rPr>
          <w:rStyle w:val="9"/>
          <w:rFonts w:ascii="仿宋" w:hAnsi="仿宋" w:eastAsia="仿宋"/>
          <w:b w:val="0"/>
          <w:color w:val="000000" w:themeColor="text1"/>
        </w:rPr>
      </w:pPr>
      <w:r>
        <w:rPr>
          <w:rStyle w:val="9"/>
          <w:rFonts w:hint="eastAsia" w:ascii="仿宋" w:hAnsi="仿宋" w:eastAsia="仿宋"/>
          <w:b w:val="0"/>
          <w:color w:val="000000" w:themeColor="text1"/>
        </w:rPr>
        <w:t>11.社会保障和就业（类）行政事业单位离退休（款）未归口管理的行政单位离退休（项）: 指未实行归口管理的行政单位（包括实行公务员管理的事业单位）开支的离退休支出。</w:t>
      </w:r>
    </w:p>
    <w:p>
      <w:pPr>
        <w:spacing w:line="600" w:lineRule="exact"/>
        <w:ind w:firstLine="640" w:firstLineChars="200"/>
        <w:rPr>
          <w:rFonts w:ascii="仿宋" w:hAnsi="仿宋" w:eastAsia="仿宋"/>
          <w:color w:val="000000" w:themeColor="text1"/>
        </w:rPr>
      </w:pPr>
      <w:r>
        <w:rPr>
          <w:rStyle w:val="9"/>
          <w:rFonts w:hint="eastAsia" w:ascii="仿宋" w:hAnsi="仿宋" w:eastAsia="仿宋"/>
          <w:b w:val="0"/>
          <w:color w:val="000000" w:themeColor="text1"/>
        </w:rPr>
        <w:t>12.社会保障和就业（类）行政事业单位离退休（款）机关事业单位基本养老保险缴费</w:t>
      </w:r>
      <w:r>
        <w:rPr>
          <w:rStyle w:val="9"/>
          <w:rFonts w:ascii="仿宋" w:hAnsi="仿宋" w:eastAsia="仿宋"/>
          <w:b w:val="0"/>
          <w:color w:val="000000" w:themeColor="text1"/>
        </w:rPr>
        <w:t>（项）</w:t>
      </w:r>
      <w:r>
        <w:rPr>
          <w:rStyle w:val="9"/>
          <w:rFonts w:hint="eastAsia" w:ascii="仿宋" w:hAnsi="仿宋" w:eastAsia="仿宋"/>
          <w:b w:val="0"/>
          <w:color w:val="000000" w:themeColor="text1"/>
        </w:rPr>
        <w:t>：指机关事业单位实施养老保险制度由单位缴纳的基本养老保险费支出</w:t>
      </w:r>
      <w:r>
        <w:rPr>
          <w:rFonts w:ascii="仿宋" w:hAnsi="仿宋" w:eastAsia="仿宋"/>
          <w:color w:val="000000" w:themeColor="text1"/>
        </w:rPr>
        <w:t>。</w:t>
      </w:r>
    </w:p>
    <w:p>
      <w:pPr>
        <w:spacing w:line="600" w:lineRule="exact"/>
        <w:ind w:firstLine="640" w:firstLineChars="200"/>
        <w:rPr>
          <w:rFonts w:ascii="仿宋" w:hAnsi="仿宋" w:eastAsia="仿宋"/>
          <w:color w:val="000000" w:themeColor="text1"/>
        </w:rPr>
      </w:pPr>
      <w:r>
        <w:rPr>
          <w:rFonts w:hint="eastAsia" w:ascii="仿宋" w:hAnsi="仿宋" w:eastAsia="仿宋"/>
          <w:color w:val="000000" w:themeColor="text1"/>
        </w:rPr>
        <w:t>13.</w:t>
      </w:r>
      <w:r>
        <w:rPr>
          <w:rStyle w:val="9"/>
          <w:rFonts w:hint="eastAsia" w:ascii="仿宋" w:hAnsi="仿宋" w:eastAsia="仿宋"/>
          <w:b w:val="0"/>
          <w:color w:val="000000" w:themeColor="text1"/>
        </w:rPr>
        <w:t>社会保障和就业（类）抚恤（款）死亡抚恤</w:t>
      </w:r>
      <w:r>
        <w:rPr>
          <w:rStyle w:val="9"/>
          <w:rFonts w:ascii="仿宋" w:hAnsi="仿宋" w:eastAsia="仿宋"/>
          <w:b w:val="0"/>
          <w:color w:val="000000" w:themeColor="text1"/>
        </w:rPr>
        <w:t>（项）</w:t>
      </w:r>
      <w:r>
        <w:rPr>
          <w:rStyle w:val="9"/>
          <w:rFonts w:hint="eastAsia" w:ascii="仿宋" w:hAnsi="仿宋" w:eastAsia="仿宋"/>
          <w:b w:val="0"/>
          <w:color w:val="000000" w:themeColor="text1"/>
        </w:rPr>
        <w:t>：指按规定用于烈士和牺牲、病故人员家属的一次性和定期抚恤金以及丧葬补助费。</w:t>
      </w:r>
    </w:p>
    <w:p>
      <w:pPr>
        <w:spacing w:line="600" w:lineRule="exact"/>
        <w:ind w:firstLine="640" w:firstLineChars="200"/>
        <w:rPr>
          <w:rStyle w:val="9"/>
          <w:rFonts w:ascii="仿宋" w:hAnsi="仿宋" w:eastAsia="仿宋"/>
          <w:b w:val="0"/>
          <w:color w:val="000000" w:themeColor="text1"/>
        </w:rPr>
      </w:pPr>
      <w:r>
        <w:rPr>
          <w:rStyle w:val="9"/>
          <w:rFonts w:hint="eastAsia" w:ascii="仿宋" w:hAnsi="仿宋" w:eastAsia="仿宋"/>
          <w:b w:val="0"/>
          <w:color w:val="000000" w:themeColor="text1"/>
        </w:rPr>
        <w:t>14.医疗卫生与计划生育（类）行政事业单位医疗（款）行政单位医疗（项）: 指财政部门集中安排的行政单位基本医疗保险缴费经费，未参加医疗保险的行政单位的公费医疗经费，按国家规定享受离休人员、红军老战士待遇人员的医疗经费。</w:t>
      </w:r>
    </w:p>
    <w:p>
      <w:pPr>
        <w:spacing w:line="600" w:lineRule="exact"/>
        <w:ind w:firstLine="640" w:firstLineChars="200"/>
        <w:rPr>
          <w:rStyle w:val="9"/>
          <w:rFonts w:ascii="仿宋" w:hAnsi="仿宋" w:eastAsia="仿宋"/>
          <w:b w:val="0"/>
          <w:color w:val="000000" w:themeColor="text1"/>
        </w:rPr>
      </w:pPr>
      <w:r>
        <w:rPr>
          <w:rStyle w:val="9"/>
          <w:rFonts w:hint="eastAsia" w:ascii="仿宋" w:hAnsi="仿宋" w:eastAsia="仿宋"/>
          <w:b w:val="0"/>
          <w:color w:val="000000" w:themeColor="text1"/>
        </w:rPr>
        <w:t>15. 医疗卫生与计划生育（类）行政事业单位医疗</w:t>
      </w:r>
      <w:r>
        <w:rPr>
          <w:rStyle w:val="9"/>
          <w:rFonts w:ascii="仿宋" w:hAnsi="仿宋" w:eastAsia="仿宋"/>
          <w:b w:val="0"/>
          <w:color w:val="000000" w:themeColor="text1"/>
        </w:rPr>
        <w:t>（款）</w:t>
      </w:r>
      <w:r>
        <w:rPr>
          <w:rStyle w:val="9"/>
          <w:rFonts w:hint="eastAsia" w:ascii="仿宋" w:hAnsi="仿宋" w:eastAsia="仿宋"/>
          <w:b w:val="0"/>
          <w:color w:val="000000" w:themeColor="text1"/>
        </w:rPr>
        <w:t>事业单位医疗</w:t>
      </w:r>
      <w:r>
        <w:rPr>
          <w:rStyle w:val="9"/>
          <w:rFonts w:ascii="仿宋" w:hAnsi="仿宋" w:eastAsia="仿宋"/>
          <w:b w:val="0"/>
          <w:color w:val="000000" w:themeColor="text1"/>
        </w:rPr>
        <w:t>（项）</w:t>
      </w:r>
      <w:r>
        <w:rPr>
          <w:rStyle w:val="9"/>
          <w:rFonts w:hint="eastAsia" w:ascii="仿宋" w:hAnsi="仿宋" w:eastAsia="仿宋"/>
          <w:b w:val="0"/>
          <w:color w:val="000000" w:themeColor="text1"/>
        </w:rPr>
        <w:t>：指财政部门集中安排的事业单位基本医疗保险缴费经费，未参加医疗保险的事业单位的公费医疗经费，按国家规定享受离休人员待遇的医疗经费。</w:t>
      </w:r>
    </w:p>
    <w:p>
      <w:pPr>
        <w:spacing w:line="600" w:lineRule="exact"/>
        <w:ind w:firstLine="640" w:firstLineChars="200"/>
        <w:rPr>
          <w:rStyle w:val="9"/>
          <w:rFonts w:ascii="仿宋" w:hAnsi="仿宋" w:eastAsia="仿宋"/>
          <w:b w:val="0"/>
          <w:color w:val="000000" w:themeColor="text1"/>
        </w:rPr>
      </w:pPr>
      <w:r>
        <w:rPr>
          <w:rStyle w:val="9"/>
          <w:rFonts w:hint="eastAsia" w:ascii="仿宋" w:hAnsi="仿宋" w:eastAsia="仿宋"/>
          <w:b w:val="0"/>
          <w:color w:val="000000" w:themeColor="text1"/>
        </w:rPr>
        <w:t>16.农林水（类）水利（款）其他水利（项）：指除01-52项以外其他用于农业方面的支出。</w:t>
      </w:r>
    </w:p>
    <w:p>
      <w:pPr>
        <w:spacing w:line="600" w:lineRule="exact"/>
        <w:ind w:firstLine="640" w:firstLineChars="200"/>
        <w:rPr>
          <w:rFonts w:ascii="仿宋" w:hAnsi="仿宋" w:eastAsia="仿宋"/>
          <w:color w:val="000000"/>
        </w:rPr>
      </w:pPr>
      <w:r>
        <w:rPr>
          <w:rStyle w:val="9"/>
          <w:rFonts w:hint="eastAsia" w:ascii="仿宋" w:hAnsi="仿宋" w:eastAsia="仿宋"/>
          <w:b w:val="0"/>
          <w:color w:val="000000" w:themeColor="text1"/>
        </w:rPr>
        <w:t>17.住房保障</w:t>
      </w:r>
      <w:r>
        <w:rPr>
          <w:rStyle w:val="9"/>
          <w:rFonts w:ascii="仿宋" w:hAnsi="仿宋" w:eastAsia="仿宋"/>
          <w:b w:val="0"/>
          <w:color w:val="000000" w:themeColor="text1"/>
        </w:rPr>
        <w:t>（类）</w:t>
      </w:r>
      <w:r>
        <w:rPr>
          <w:rStyle w:val="9"/>
          <w:rFonts w:hint="eastAsia" w:ascii="仿宋" w:hAnsi="仿宋" w:eastAsia="仿宋"/>
          <w:b w:val="0"/>
          <w:color w:val="000000" w:themeColor="text1"/>
        </w:rPr>
        <w:t>住房改革</w:t>
      </w:r>
      <w:r>
        <w:rPr>
          <w:rStyle w:val="9"/>
          <w:rFonts w:ascii="仿宋" w:hAnsi="仿宋" w:eastAsia="仿宋"/>
          <w:b w:val="0"/>
          <w:color w:val="000000" w:themeColor="text1"/>
        </w:rPr>
        <w:t>（款）</w:t>
      </w:r>
      <w:r>
        <w:rPr>
          <w:rStyle w:val="9"/>
          <w:rFonts w:hint="eastAsia" w:ascii="仿宋" w:hAnsi="仿宋" w:eastAsia="仿宋"/>
          <w:b w:val="0"/>
          <w:color w:val="000000" w:themeColor="text1"/>
        </w:rPr>
        <w:t>住房公积金</w:t>
      </w:r>
      <w:r>
        <w:rPr>
          <w:rStyle w:val="9"/>
          <w:rFonts w:ascii="仿宋" w:hAnsi="仿宋" w:eastAsia="仿宋"/>
          <w:b w:val="0"/>
          <w:color w:val="000000" w:themeColor="text1"/>
        </w:rPr>
        <w:t>（项）</w:t>
      </w:r>
      <w:r>
        <w:rPr>
          <w:rStyle w:val="9"/>
          <w:rFonts w:hint="eastAsia" w:ascii="仿宋" w:hAnsi="仿宋" w:eastAsia="仿宋"/>
          <w:b w:val="0"/>
          <w:color w:val="000000" w:themeColor="text1"/>
        </w:rPr>
        <w:t>：指行政事业单位按人力资源和社会保障部、财政部规定的基本工资和津贴补贴以及规定比例为职工缴纳的住房公积金。</w:t>
      </w:r>
    </w:p>
    <w:p>
      <w:pPr>
        <w:ind w:firstLine="640" w:firstLineChars="200"/>
        <w:rPr>
          <w:rFonts w:ascii="仿宋" w:hAnsi="仿宋" w:eastAsia="仿宋"/>
          <w:color w:val="000000"/>
        </w:rPr>
      </w:pPr>
      <w:r>
        <w:rPr>
          <w:rFonts w:hint="eastAsia" w:ascii="仿宋" w:hAnsi="仿宋" w:eastAsia="仿宋"/>
          <w:color w:val="000000"/>
        </w:rPr>
        <w:t>18.基本支出：指为保障机构正常运转、完成日常工作任务而发生的人员支出和公用支出。</w:t>
      </w:r>
    </w:p>
    <w:p>
      <w:pPr>
        <w:ind w:firstLine="640" w:firstLineChars="200"/>
        <w:rPr>
          <w:rFonts w:ascii="仿宋" w:hAnsi="仿宋" w:eastAsia="仿宋"/>
          <w:color w:val="000000"/>
        </w:rPr>
      </w:pPr>
      <w:r>
        <w:rPr>
          <w:rFonts w:hint="eastAsia" w:ascii="仿宋" w:hAnsi="仿宋" w:eastAsia="仿宋"/>
          <w:color w:val="000000"/>
        </w:rPr>
        <w:t xml:space="preserve">19.项目支出：指在基本支出之外为完成特定行政任务和事业发展目标所发生的支出。 </w:t>
      </w:r>
    </w:p>
    <w:p>
      <w:pPr>
        <w:pStyle w:val="11"/>
        <w:spacing w:line="560" w:lineRule="exact"/>
        <w:ind w:firstLine="640" w:firstLineChars="200"/>
        <w:rPr>
          <w:rFonts w:hAnsi="仿宋"/>
          <w:sz w:val="32"/>
          <w:szCs w:val="32"/>
        </w:rPr>
      </w:pPr>
      <w:r>
        <w:rPr>
          <w:rFonts w:hint="eastAsia" w:hAnsi="仿宋"/>
          <w:sz w:val="32"/>
          <w:szCs w:val="32"/>
        </w:rPr>
        <w:t>20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1"/>
        <w:spacing w:line="560" w:lineRule="exact"/>
        <w:ind w:firstLine="640" w:firstLineChars="200"/>
        <w:rPr>
          <w:rFonts w:hAnsi="仿宋"/>
          <w:sz w:val="32"/>
          <w:szCs w:val="32"/>
        </w:rPr>
      </w:pPr>
      <w:r>
        <w:rPr>
          <w:rFonts w:hint="eastAsia" w:hAnsi="仿宋"/>
          <w:sz w:val="32"/>
          <w:szCs w:val="32"/>
        </w:rPr>
        <w:t>21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11"/>
        <w:spacing w:line="560" w:lineRule="exact"/>
        <w:ind w:firstLine="640" w:firstLineChars="200"/>
        <w:rPr>
          <w:rFonts w:hAnsi="仿宋" w:cs="黑体"/>
          <w:sz w:val="32"/>
          <w:szCs w:val="32"/>
        </w:rPr>
      </w:pPr>
    </w:p>
    <w:p/>
    <w:p>
      <w:pPr>
        <w:rPr>
          <w:rFonts w:ascii="仿宋_GB2312"/>
          <w:color w:val="000000"/>
          <w:highlight w:val="yello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ECC77D6"/>
    <w:rsid w:val="00002999"/>
    <w:rsid w:val="00010E13"/>
    <w:rsid w:val="00020239"/>
    <w:rsid w:val="00033D37"/>
    <w:rsid w:val="000440F0"/>
    <w:rsid w:val="00044911"/>
    <w:rsid w:val="00063163"/>
    <w:rsid w:val="00064AF2"/>
    <w:rsid w:val="000F68D4"/>
    <w:rsid w:val="00122CF9"/>
    <w:rsid w:val="00136662"/>
    <w:rsid w:val="001438A5"/>
    <w:rsid w:val="001A1A9F"/>
    <w:rsid w:val="001B3450"/>
    <w:rsid w:val="001E0B23"/>
    <w:rsid w:val="001E7C87"/>
    <w:rsid w:val="001F0DB8"/>
    <w:rsid w:val="001F0E50"/>
    <w:rsid w:val="00200DAA"/>
    <w:rsid w:val="00206D2F"/>
    <w:rsid w:val="00227EF0"/>
    <w:rsid w:val="00232A88"/>
    <w:rsid w:val="00233AB4"/>
    <w:rsid w:val="00242615"/>
    <w:rsid w:val="00245487"/>
    <w:rsid w:val="00246FA1"/>
    <w:rsid w:val="002C23B2"/>
    <w:rsid w:val="002E0ABA"/>
    <w:rsid w:val="002E10E6"/>
    <w:rsid w:val="002F4816"/>
    <w:rsid w:val="00300FCD"/>
    <w:rsid w:val="00343F15"/>
    <w:rsid w:val="00364E70"/>
    <w:rsid w:val="00381F6C"/>
    <w:rsid w:val="0039025B"/>
    <w:rsid w:val="00390FB0"/>
    <w:rsid w:val="003A2A61"/>
    <w:rsid w:val="003B0FC1"/>
    <w:rsid w:val="003B7DDF"/>
    <w:rsid w:val="003C6750"/>
    <w:rsid w:val="003C69E7"/>
    <w:rsid w:val="003E2FC1"/>
    <w:rsid w:val="0040515E"/>
    <w:rsid w:val="004136EF"/>
    <w:rsid w:val="004430EA"/>
    <w:rsid w:val="00463CB8"/>
    <w:rsid w:val="004B0F45"/>
    <w:rsid w:val="004E2075"/>
    <w:rsid w:val="004F2D0C"/>
    <w:rsid w:val="00501E30"/>
    <w:rsid w:val="00504594"/>
    <w:rsid w:val="00525A48"/>
    <w:rsid w:val="00537AC5"/>
    <w:rsid w:val="00542671"/>
    <w:rsid w:val="0056299F"/>
    <w:rsid w:val="00585878"/>
    <w:rsid w:val="005921DF"/>
    <w:rsid w:val="005A4994"/>
    <w:rsid w:val="005B1F59"/>
    <w:rsid w:val="005B32C2"/>
    <w:rsid w:val="005B5C95"/>
    <w:rsid w:val="005C3099"/>
    <w:rsid w:val="005E061C"/>
    <w:rsid w:val="005E2527"/>
    <w:rsid w:val="005E77A6"/>
    <w:rsid w:val="005F479D"/>
    <w:rsid w:val="00612139"/>
    <w:rsid w:val="00616CD8"/>
    <w:rsid w:val="00621F6C"/>
    <w:rsid w:val="0065226C"/>
    <w:rsid w:val="0065303A"/>
    <w:rsid w:val="00660EAB"/>
    <w:rsid w:val="00663E8C"/>
    <w:rsid w:val="006806BF"/>
    <w:rsid w:val="00690240"/>
    <w:rsid w:val="006930B1"/>
    <w:rsid w:val="006D469C"/>
    <w:rsid w:val="006E297C"/>
    <w:rsid w:val="006E735B"/>
    <w:rsid w:val="006F6C5F"/>
    <w:rsid w:val="00720F50"/>
    <w:rsid w:val="00742101"/>
    <w:rsid w:val="00746ACD"/>
    <w:rsid w:val="00762C85"/>
    <w:rsid w:val="00781D9F"/>
    <w:rsid w:val="00796766"/>
    <w:rsid w:val="007C01F6"/>
    <w:rsid w:val="007D0325"/>
    <w:rsid w:val="007D37DA"/>
    <w:rsid w:val="00816B9A"/>
    <w:rsid w:val="008258A0"/>
    <w:rsid w:val="00835ADA"/>
    <w:rsid w:val="0084011B"/>
    <w:rsid w:val="00847072"/>
    <w:rsid w:val="0087073D"/>
    <w:rsid w:val="0088419D"/>
    <w:rsid w:val="00897E41"/>
    <w:rsid w:val="008A57F4"/>
    <w:rsid w:val="008C22D4"/>
    <w:rsid w:val="008C7B2F"/>
    <w:rsid w:val="009009B6"/>
    <w:rsid w:val="00910891"/>
    <w:rsid w:val="009242E3"/>
    <w:rsid w:val="00925FF6"/>
    <w:rsid w:val="0094170E"/>
    <w:rsid w:val="00944348"/>
    <w:rsid w:val="009545F4"/>
    <w:rsid w:val="0096449A"/>
    <w:rsid w:val="00983659"/>
    <w:rsid w:val="00990C33"/>
    <w:rsid w:val="009A77F4"/>
    <w:rsid w:val="009B6BD5"/>
    <w:rsid w:val="009F7F14"/>
    <w:rsid w:val="00A01E44"/>
    <w:rsid w:val="00A07E9D"/>
    <w:rsid w:val="00A138D4"/>
    <w:rsid w:val="00A25F78"/>
    <w:rsid w:val="00A53E3A"/>
    <w:rsid w:val="00A924BE"/>
    <w:rsid w:val="00A93B5F"/>
    <w:rsid w:val="00B12522"/>
    <w:rsid w:val="00B17F4C"/>
    <w:rsid w:val="00B23A76"/>
    <w:rsid w:val="00B41912"/>
    <w:rsid w:val="00B60102"/>
    <w:rsid w:val="00B65EC3"/>
    <w:rsid w:val="00B80A83"/>
    <w:rsid w:val="00B8205E"/>
    <w:rsid w:val="00BB208A"/>
    <w:rsid w:val="00BB76C1"/>
    <w:rsid w:val="00BC1D53"/>
    <w:rsid w:val="00BF0F8D"/>
    <w:rsid w:val="00C01B07"/>
    <w:rsid w:val="00C12C39"/>
    <w:rsid w:val="00C23CCA"/>
    <w:rsid w:val="00C32584"/>
    <w:rsid w:val="00C54267"/>
    <w:rsid w:val="00C650D3"/>
    <w:rsid w:val="00C6728F"/>
    <w:rsid w:val="00CB2656"/>
    <w:rsid w:val="00CB7D8F"/>
    <w:rsid w:val="00CE5E79"/>
    <w:rsid w:val="00CF07CB"/>
    <w:rsid w:val="00CF25C7"/>
    <w:rsid w:val="00D0063A"/>
    <w:rsid w:val="00D02DD3"/>
    <w:rsid w:val="00D14744"/>
    <w:rsid w:val="00D23B61"/>
    <w:rsid w:val="00D34215"/>
    <w:rsid w:val="00D47E49"/>
    <w:rsid w:val="00D517D3"/>
    <w:rsid w:val="00D62854"/>
    <w:rsid w:val="00D655B5"/>
    <w:rsid w:val="00D6778F"/>
    <w:rsid w:val="00D96770"/>
    <w:rsid w:val="00DB2D9A"/>
    <w:rsid w:val="00DB3584"/>
    <w:rsid w:val="00DC16B0"/>
    <w:rsid w:val="00DC2D07"/>
    <w:rsid w:val="00E21276"/>
    <w:rsid w:val="00E315B7"/>
    <w:rsid w:val="00E32217"/>
    <w:rsid w:val="00E37C69"/>
    <w:rsid w:val="00E66DEF"/>
    <w:rsid w:val="00E7231A"/>
    <w:rsid w:val="00E82533"/>
    <w:rsid w:val="00E828A8"/>
    <w:rsid w:val="00E934DC"/>
    <w:rsid w:val="00EC27AA"/>
    <w:rsid w:val="00EE12B0"/>
    <w:rsid w:val="00F06B4B"/>
    <w:rsid w:val="00F07292"/>
    <w:rsid w:val="00F1178D"/>
    <w:rsid w:val="00F30946"/>
    <w:rsid w:val="00F33098"/>
    <w:rsid w:val="00F36564"/>
    <w:rsid w:val="00F422F1"/>
    <w:rsid w:val="00F577A4"/>
    <w:rsid w:val="00F73451"/>
    <w:rsid w:val="00FB420D"/>
    <w:rsid w:val="00FC4644"/>
    <w:rsid w:val="00FE799E"/>
    <w:rsid w:val="00FF2AD7"/>
    <w:rsid w:val="0B771AC4"/>
    <w:rsid w:val="0ECC77D6"/>
    <w:rsid w:val="0F543BE6"/>
    <w:rsid w:val="14357F91"/>
    <w:rsid w:val="20BD3DFF"/>
    <w:rsid w:val="2DEA0213"/>
    <w:rsid w:val="39297510"/>
    <w:rsid w:val="3A597248"/>
    <w:rsid w:val="53AE0EB9"/>
    <w:rsid w:val="5FFE1AC4"/>
    <w:rsid w:val="657014DD"/>
    <w:rsid w:val="6D535020"/>
    <w:rsid w:val="732A7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Lines="30"/>
    </w:pPr>
    <w:rPr>
      <w:rFonts w:ascii="仿宋_GB2312"/>
      <w:sz w:val="30"/>
      <w:szCs w:val="24"/>
    </w:rPr>
  </w:style>
  <w:style w:type="paragraph" w:styleId="3">
    <w:name w:val="Balloon Text"/>
    <w:basedOn w:val="1"/>
    <w:link w:val="12"/>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qFormat/>
    <w:uiPriority w:val="0"/>
    <w:rPr>
      <w:b/>
      <w:bCs/>
    </w:rPr>
  </w:style>
  <w:style w:type="character" w:styleId="10">
    <w:name w:val="Emphasis"/>
    <w:basedOn w:val="8"/>
    <w:qFormat/>
    <w:uiPriority w:val="20"/>
  </w:style>
  <w:style w:type="paragraph" w:customStyle="1" w:styleId="11">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character" w:customStyle="1" w:styleId="12">
    <w:name w:val="批注框文本 Char"/>
    <w:basedOn w:val="8"/>
    <w:link w:val="3"/>
    <w:qFormat/>
    <w:uiPriority w:val="0"/>
    <w:rPr>
      <w:rFonts w:ascii="Calibri" w:hAnsi="Calibri" w:eastAsia="仿宋_GB2312"/>
      <w:kern w:val="2"/>
      <w:sz w:val="18"/>
      <w:szCs w:val="18"/>
    </w:rPr>
  </w:style>
  <w:style w:type="character" w:customStyle="1" w:styleId="13">
    <w:name w:val="页眉 Char"/>
    <w:basedOn w:val="8"/>
    <w:link w:val="5"/>
    <w:qFormat/>
    <w:uiPriority w:val="0"/>
    <w:rPr>
      <w:rFonts w:ascii="Calibri" w:hAnsi="Calibri" w:eastAsia="仿宋_GB2312"/>
      <w:kern w:val="2"/>
      <w:sz w:val="18"/>
      <w:szCs w:val="18"/>
    </w:rPr>
  </w:style>
  <w:style w:type="character" w:customStyle="1" w:styleId="14">
    <w:name w:val="页脚 Char"/>
    <w:basedOn w:val="8"/>
    <w:link w:val="4"/>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snak/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21</Pages>
  <Words>1830</Words>
  <Characters>10433</Characters>
  <Lines>86</Lines>
  <Paragraphs>24</Paragraphs>
  <TotalTime>424</TotalTime>
  <ScaleCrop>false</ScaleCrop>
  <LinksUpToDate>false</LinksUpToDate>
  <CharactersWithSpaces>12239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2018-08-14T11:25:00Z</dcterms:created>
  <dc:creator>Administrator</dc:creator>
  <cp:lastModifiedBy>魅若影</cp:lastModifiedBy>
  <cp:lastPrinted>2018-08-21T11:07:00Z</cp:lastPrinted>
  <dcterms:modified xsi:type="dcterms:W3CDTF">2022-02-10T14:37:05Z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